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689FE" w14:textId="78E5FF1E" w:rsidR="002A6260" w:rsidRDefault="002A6260" w:rsidP="008B0E9E">
      <w:pPr>
        <w:spacing w:before="16" w:after="16"/>
        <w:rPr>
          <w:rFonts w:cs="Times New Roman"/>
        </w:rPr>
      </w:pPr>
    </w:p>
    <w:p w14:paraId="50D1D804" w14:textId="455C33F2" w:rsidR="00885296" w:rsidRPr="00885296" w:rsidRDefault="00885296" w:rsidP="00885296">
      <w:pPr>
        <w:spacing w:before="16" w:after="16"/>
        <w:jc w:val="center"/>
        <w:rPr>
          <w:rFonts w:cs="Times New Roman"/>
          <w:b/>
          <w:lang w:val="es-MX"/>
        </w:rPr>
      </w:pPr>
      <w:r>
        <w:rPr>
          <w:rFonts w:cs="Times New Roman"/>
          <w:b/>
          <w:lang w:val="es-MX"/>
        </w:rPr>
        <w:t>Li</w:t>
      </w:r>
      <w:r w:rsidR="00A11D9E">
        <w:rPr>
          <w:rFonts w:cs="Times New Roman"/>
          <w:b/>
          <w:lang w:val="es-MX"/>
        </w:rPr>
        <w:t xml:space="preserve">neamientos para la formulación, </w:t>
      </w:r>
      <w:r>
        <w:rPr>
          <w:rFonts w:cs="Times New Roman"/>
          <w:b/>
          <w:lang w:val="es-MX"/>
        </w:rPr>
        <w:t>actualización</w:t>
      </w:r>
      <w:r w:rsidR="00A11D9E">
        <w:rPr>
          <w:rFonts w:cs="Times New Roman"/>
          <w:b/>
          <w:lang w:val="es-MX"/>
        </w:rPr>
        <w:t xml:space="preserve"> y/o ajuste de los instrumentos</w:t>
      </w:r>
      <w:r>
        <w:rPr>
          <w:rFonts w:cs="Times New Roman"/>
          <w:b/>
          <w:lang w:val="es-MX"/>
        </w:rPr>
        <w:t xml:space="preserve"> de ordenamiento territorial (POT, PBOT, EOT)</w:t>
      </w:r>
    </w:p>
    <w:p w14:paraId="1D58F2B6" w14:textId="77777777" w:rsidR="00885296" w:rsidRPr="00885296" w:rsidRDefault="00885296" w:rsidP="00885296">
      <w:pPr>
        <w:spacing w:before="16" w:after="16"/>
        <w:jc w:val="center"/>
        <w:rPr>
          <w:rFonts w:cs="Times New Roman"/>
          <w:b/>
          <w:lang w:val="es-MX"/>
        </w:rPr>
      </w:pPr>
    </w:p>
    <w:p w14:paraId="7864011D" w14:textId="77777777" w:rsidR="00885296" w:rsidRPr="00885296" w:rsidRDefault="00885296" w:rsidP="00885296">
      <w:pPr>
        <w:spacing w:before="16" w:after="16"/>
        <w:jc w:val="center"/>
        <w:rPr>
          <w:rFonts w:cs="Times New Roman"/>
          <w:b/>
          <w:lang w:val="es-MX"/>
        </w:rPr>
      </w:pPr>
    </w:p>
    <w:p w14:paraId="2F8B9CF0" w14:textId="77777777" w:rsidR="00885296" w:rsidRPr="00885296" w:rsidRDefault="00885296" w:rsidP="00885296">
      <w:pPr>
        <w:spacing w:before="16" w:after="16"/>
        <w:jc w:val="center"/>
        <w:rPr>
          <w:rFonts w:cs="Times New Roman"/>
          <w:b/>
          <w:lang w:val="es-MX"/>
        </w:rPr>
      </w:pPr>
    </w:p>
    <w:p w14:paraId="1A107024" w14:textId="77777777" w:rsidR="00885296" w:rsidRPr="00885296" w:rsidRDefault="00885296" w:rsidP="00885296">
      <w:pPr>
        <w:spacing w:before="16" w:after="16"/>
        <w:jc w:val="center"/>
        <w:rPr>
          <w:rFonts w:cs="Times New Roman"/>
          <w:b/>
          <w:lang w:val="es-MX"/>
        </w:rPr>
      </w:pPr>
    </w:p>
    <w:p w14:paraId="03AADD76" w14:textId="77777777" w:rsidR="00885296" w:rsidRPr="00885296" w:rsidRDefault="00885296" w:rsidP="00885296">
      <w:pPr>
        <w:spacing w:before="16" w:after="16"/>
        <w:jc w:val="center"/>
        <w:rPr>
          <w:rFonts w:cs="Times New Roman"/>
          <w:b/>
          <w:lang w:val="es-MX"/>
        </w:rPr>
      </w:pPr>
    </w:p>
    <w:p w14:paraId="4CFEBD2D" w14:textId="5A76A944" w:rsidR="00885296" w:rsidRPr="00885296" w:rsidRDefault="00885296" w:rsidP="00885296">
      <w:pPr>
        <w:spacing w:before="16" w:after="16"/>
        <w:jc w:val="center"/>
        <w:rPr>
          <w:rFonts w:cs="Times New Roman"/>
          <w:b/>
          <w:lang w:val="es-MX"/>
        </w:rPr>
      </w:pPr>
    </w:p>
    <w:p w14:paraId="63AC41DC" w14:textId="77777777" w:rsidR="00885296" w:rsidRPr="00885296" w:rsidRDefault="00885296" w:rsidP="00885296">
      <w:pPr>
        <w:spacing w:before="16" w:after="16"/>
        <w:jc w:val="center"/>
        <w:rPr>
          <w:rFonts w:cs="Times New Roman"/>
          <w:b/>
          <w:lang w:val="es-MX"/>
        </w:rPr>
      </w:pPr>
    </w:p>
    <w:p w14:paraId="62677EF2" w14:textId="77777777" w:rsidR="00885296" w:rsidRPr="00885296" w:rsidRDefault="00885296" w:rsidP="00885296">
      <w:pPr>
        <w:spacing w:before="16" w:after="16"/>
        <w:jc w:val="center"/>
        <w:rPr>
          <w:rFonts w:cs="Times New Roman"/>
          <w:b/>
          <w:lang w:val="es-MX"/>
        </w:rPr>
      </w:pPr>
    </w:p>
    <w:p w14:paraId="377DE494" w14:textId="77777777" w:rsidR="00885296" w:rsidRPr="00885296" w:rsidRDefault="00885296" w:rsidP="00885296">
      <w:pPr>
        <w:spacing w:before="16" w:after="16"/>
        <w:jc w:val="center"/>
        <w:rPr>
          <w:rFonts w:cs="Times New Roman"/>
          <w:b/>
          <w:lang w:val="es-MX"/>
        </w:rPr>
      </w:pPr>
    </w:p>
    <w:p w14:paraId="73B6D35C" w14:textId="77777777" w:rsidR="00885296" w:rsidRPr="00885296" w:rsidRDefault="00885296" w:rsidP="00885296">
      <w:pPr>
        <w:spacing w:before="16" w:after="16"/>
        <w:jc w:val="center"/>
        <w:rPr>
          <w:rFonts w:cs="Times New Roman"/>
          <w:b/>
          <w:lang w:val="es-MX"/>
        </w:rPr>
      </w:pPr>
    </w:p>
    <w:p w14:paraId="47D76935" w14:textId="77777777" w:rsidR="00885296" w:rsidRPr="00885296" w:rsidRDefault="00885296" w:rsidP="00885296">
      <w:pPr>
        <w:spacing w:before="16" w:after="16"/>
        <w:jc w:val="center"/>
        <w:rPr>
          <w:rFonts w:cs="Times New Roman"/>
          <w:b/>
          <w:lang w:val="es-MX"/>
        </w:rPr>
      </w:pPr>
    </w:p>
    <w:p w14:paraId="2DEBE89A" w14:textId="77777777" w:rsidR="00885296" w:rsidRPr="00885296" w:rsidRDefault="00885296" w:rsidP="00885296">
      <w:pPr>
        <w:spacing w:before="16" w:after="16"/>
        <w:jc w:val="center"/>
        <w:rPr>
          <w:rFonts w:cs="Times New Roman"/>
          <w:b/>
          <w:lang w:val="es-MX"/>
        </w:rPr>
      </w:pPr>
      <w:r w:rsidRPr="00885296">
        <w:rPr>
          <w:rFonts w:cs="Times New Roman"/>
          <w:b/>
          <w:lang w:val="es-MX"/>
        </w:rPr>
        <w:t>Secretaria de planeación departamental</w:t>
      </w:r>
    </w:p>
    <w:p w14:paraId="4E472753" w14:textId="1548808E" w:rsidR="00885296" w:rsidRPr="00885296" w:rsidRDefault="00885296" w:rsidP="00885296">
      <w:pPr>
        <w:spacing w:before="16" w:after="16"/>
        <w:jc w:val="center"/>
        <w:rPr>
          <w:rFonts w:cs="Times New Roman"/>
          <w:b/>
          <w:lang w:val="es-MX"/>
        </w:rPr>
      </w:pPr>
      <w:r w:rsidRPr="00885296">
        <w:rPr>
          <w:rFonts w:cs="Times New Roman"/>
          <w:b/>
          <w:lang w:val="es-MX"/>
        </w:rPr>
        <w:t>Subsecretaria de asistencia técnica</w:t>
      </w:r>
    </w:p>
    <w:p w14:paraId="1ABC6AA7" w14:textId="77777777" w:rsidR="00885296" w:rsidRPr="00885296" w:rsidRDefault="00885296" w:rsidP="00885296">
      <w:pPr>
        <w:spacing w:before="16" w:after="16"/>
        <w:jc w:val="center"/>
        <w:rPr>
          <w:rFonts w:cs="Times New Roman"/>
          <w:b/>
          <w:lang w:val="es-MX"/>
        </w:rPr>
      </w:pPr>
      <w:r w:rsidRPr="00885296">
        <w:rPr>
          <w:rFonts w:cs="Times New Roman"/>
          <w:b/>
          <w:lang w:val="es-MX"/>
        </w:rPr>
        <w:t>Documento técnico de soporte de la Ruta Estratégica</w:t>
      </w:r>
    </w:p>
    <w:p w14:paraId="495457CB" w14:textId="77777777" w:rsidR="00885296" w:rsidRPr="00885296" w:rsidRDefault="00885296" w:rsidP="00885296">
      <w:pPr>
        <w:spacing w:before="16" w:after="16"/>
        <w:jc w:val="center"/>
        <w:rPr>
          <w:rFonts w:cs="Times New Roman"/>
          <w:b/>
          <w:lang w:val="es-MX"/>
        </w:rPr>
      </w:pPr>
    </w:p>
    <w:p w14:paraId="43B8D964" w14:textId="77777777" w:rsidR="00885296" w:rsidRPr="00885296" w:rsidRDefault="00885296" w:rsidP="00885296">
      <w:pPr>
        <w:spacing w:before="16" w:after="16"/>
        <w:jc w:val="center"/>
        <w:rPr>
          <w:rFonts w:cs="Times New Roman"/>
          <w:b/>
          <w:lang w:val="es-MX"/>
        </w:rPr>
      </w:pPr>
    </w:p>
    <w:p w14:paraId="2578B895" w14:textId="77777777" w:rsidR="00885296" w:rsidRPr="00885296" w:rsidRDefault="00885296" w:rsidP="00885296">
      <w:pPr>
        <w:spacing w:before="16" w:after="16"/>
        <w:jc w:val="center"/>
        <w:rPr>
          <w:rFonts w:cs="Times New Roman"/>
          <w:b/>
          <w:lang w:val="es-MX"/>
        </w:rPr>
      </w:pPr>
    </w:p>
    <w:p w14:paraId="234DEB25" w14:textId="77777777" w:rsidR="00885296" w:rsidRPr="00885296" w:rsidRDefault="00885296" w:rsidP="00885296">
      <w:pPr>
        <w:spacing w:before="16" w:after="16"/>
        <w:jc w:val="center"/>
        <w:rPr>
          <w:rFonts w:cs="Times New Roman"/>
          <w:b/>
          <w:lang w:val="es-MX"/>
        </w:rPr>
      </w:pPr>
    </w:p>
    <w:p w14:paraId="7F42BB10" w14:textId="77777777" w:rsidR="00885296" w:rsidRPr="00885296" w:rsidRDefault="00885296" w:rsidP="00885296">
      <w:pPr>
        <w:spacing w:before="16" w:after="16"/>
        <w:jc w:val="center"/>
        <w:rPr>
          <w:rFonts w:cs="Times New Roman"/>
          <w:b/>
          <w:lang w:val="es-MX"/>
        </w:rPr>
      </w:pPr>
    </w:p>
    <w:p w14:paraId="3E0F3FBC" w14:textId="77777777" w:rsidR="00885296" w:rsidRPr="00885296" w:rsidRDefault="00885296" w:rsidP="00885296">
      <w:pPr>
        <w:spacing w:before="16" w:after="16"/>
        <w:jc w:val="center"/>
        <w:rPr>
          <w:rFonts w:cs="Times New Roman"/>
          <w:b/>
          <w:lang w:val="es-MX"/>
        </w:rPr>
      </w:pPr>
    </w:p>
    <w:p w14:paraId="6A0CF0ED" w14:textId="77777777" w:rsidR="00885296" w:rsidRPr="00885296" w:rsidRDefault="00885296" w:rsidP="00885296">
      <w:pPr>
        <w:spacing w:before="16" w:after="16"/>
        <w:jc w:val="center"/>
        <w:rPr>
          <w:rFonts w:cs="Times New Roman"/>
          <w:b/>
          <w:lang w:val="es-MX"/>
        </w:rPr>
      </w:pPr>
    </w:p>
    <w:p w14:paraId="0D83A7F1" w14:textId="77777777" w:rsidR="00885296" w:rsidRPr="00885296" w:rsidRDefault="00885296" w:rsidP="00885296">
      <w:pPr>
        <w:spacing w:before="16" w:after="16"/>
        <w:jc w:val="center"/>
        <w:rPr>
          <w:rFonts w:cs="Times New Roman"/>
          <w:b/>
          <w:lang w:val="es-MX"/>
        </w:rPr>
      </w:pPr>
    </w:p>
    <w:p w14:paraId="0ECE74FD" w14:textId="77777777" w:rsidR="00885296" w:rsidRPr="00885296" w:rsidRDefault="00885296" w:rsidP="00885296">
      <w:pPr>
        <w:spacing w:before="16" w:after="16"/>
        <w:jc w:val="center"/>
        <w:rPr>
          <w:rFonts w:cs="Times New Roman"/>
          <w:b/>
          <w:lang w:val="es-MX"/>
        </w:rPr>
      </w:pPr>
    </w:p>
    <w:p w14:paraId="216AB660" w14:textId="77777777" w:rsidR="00885296" w:rsidRPr="00885296" w:rsidRDefault="00885296" w:rsidP="00885296">
      <w:pPr>
        <w:spacing w:before="16" w:after="16"/>
        <w:jc w:val="center"/>
        <w:rPr>
          <w:rFonts w:cs="Times New Roman"/>
          <w:b/>
          <w:lang w:val="es-MX"/>
        </w:rPr>
      </w:pPr>
    </w:p>
    <w:p w14:paraId="15E337A7" w14:textId="77777777" w:rsidR="00885296" w:rsidRPr="00885296" w:rsidRDefault="00885296" w:rsidP="00885296">
      <w:pPr>
        <w:spacing w:before="16" w:after="16"/>
        <w:jc w:val="center"/>
        <w:rPr>
          <w:rFonts w:cs="Times New Roman"/>
          <w:b/>
          <w:lang w:val="es-MX"/>
        </w:rPr>
      </w:pPr>
    </w:p>
    <w:p w14:paraId="48DAACAD" w14:textId="77777777" w:rsidR="00885296" w:rsidRPr="00885296" w:rsidRDefault="00885296" w:rsidP="00885296">
      <w:pPr>
        <w:spacing w:before="16" w:after="16"/>
        <w:jc w:val="center"/>
        <w:rPr>
          <w:rFonts w:cs="Times New Roman"/>
          <w:b/>
          <w:lang w:val="es-MX"/>
        </w:rPr>
      </w:pPr>
      <w:r w:rsidRPr="00885296">
        <w:rPr>
          <w:rFonts w:cs="Times New Roman"/>
          <w:b/>
          <w:lang w:val="es-MX"/>
        </w:rPr>
        <w:t>Gobernación de Nariño</w:t>
      </w:r>
    </w:p>
    <w:p w14:paraId="081F4CBB" w14:textId="77777777" w:rsidR="00885296" w:rsidRPr="00885296" w:rsidRDefault="00885296" w:rsidP="00885296">
      <w:pPr>
        <w:spacing w:before="16" w:after="16"/>
        <w:jc w:val="center"/>
        <w:rPr>
          <w:rFonts w:cs="Times New Roman"/>
          <w:b/>
          <w:lang w:val="es-MX"/>
        </w:rPr>
      </w:pPr>
      <w:r w:rsidRPr="00885296">
        <w:rPr>
          <w:rFonts w:cs="Times New Roman"/>
          <w:b/>
          <w:lang w:val="es-MX"/>
        </w:rPr>
        <w:t>San Juan de Pasto</w:t>
      </w:r>
    </w:p>
    <w:p w14:paraId="424EE196" w14:textId="48E3863A" w:rsidR="00344A94" w:rsidRPr="00344A94" w:rsidRDefault="00885296" w:rsidP="00344A94">
      <w:pPr>
        <w:spacing w:before="16" w:after="16"/>
        <w:jc w:val="center"/>
        <w:rPr>
          <w:rFonts w:cs="Times New Roman"/>
          <w:b/>
          <w:lang w:val="es-MX"/>
        </w:rPr>
      </w:pPr>
      <w:r w:rsidRPr="00885296">
        <w:rPr>
          <w:rFonts w:cs="Times New Roman"/>
          <w:b/>
          <w:lang w:val="es-MX"/>
        </w:rPr>
        <w:t>2024</w:t>
      </w:r>
    </w:p>
    <w:p w14:paraId="0608526B" w14:textId="52522D7E" w:rsidR="00344A94" w:rsidRPr="00B2755C" w:rsidRDefault="00B2755C" w:rsidP="00B2755C">
      <w:pPr>
        <w:jc w:val="center"/>
        <w:rPr>
          <w:b/>
        </w:rPr>
      </w:pPr>
      <w:r>
        <w:rPr>
          <w:b/>
        </w:rPr>
        <w:lastRenderedPageBreak/>
        <w:t>Presentación</w:t>
      </w:r>
    </w:p>
    <w:p w14:paraId="017FB0AE" w14:textId="7F123B66" w:rsidR="00344A94" w:rsidRPr="00B2755C" w:rsidRDefault="00344A94" w:rsidP="00CE3362">
      <w:pPr>
        <w:rPr>
          <w:lang w:val="es-ES"/>
        </w:rPr>
      </w:pPr>
      <w:r w:rsidRPr="00B2755C">
        <w:rPr>
          <w:lang w:val="es-ES"/>
        </w:rPr>
        <w:t>Este documento tiene como propósito proporcionar lineamientos para la estructuración de un proyecto de revisión integral del Plan de Ordenamiento Territorial (POT). Esto incluye el desarrollo técnico necesario para la actualización de los planes de ordenamiento territorial, esquemas de ordenamiento territorial (EOT) y planes básicos de ordenamiento territorial (PBOT), de acuerdo con el marco normativo vigente, especialmente la Ley 388 de 1997 y los decretos reglamentarios compilados en el Decreto Único 1077 de 2015,</w:t>
      </w:r>
      <w:r w:rsidR="00B2755C" w:rsidRPr="00B2755C">
        <w:rPr>
          <w:lang w:val="es-ES"/>
        </w:rPr>
        <w:t xml:space="preserve"> Decreto 1232 de 2020, del</w:t>
      </w:r>
      <w:r w:rsidRPr="00B2755C">
        <w:rPr>
          <w:lang w:val="es-ES"/>
        </w:rPr>
        <w:t xml:space="preserve"> sector de vivienda, ciudad y territorio.</w:t>
      </w:r>
    </w:p>
    <w:p w14:paraId="1AA9AC33" w14:textId="797DC597" w:rsidR="00344A94" w:rsidRDefault="00344A94" w:rsidP="00CE3362">
      <w:pPr>
        <w:rPr>
          <w:lang w:val="es-ES"/>
        </w:rPr>
      </w:pPr>
      <w:r w:rsidRPr="00B2755C">
        <w:rPr>
          <w:lang w:val="es-ES"/>
        </w:rPr>
        <w:t>Es fundamental resaltar que el ordenamiento territorial es un proceso que debe adaptarse a las particularidades territoriales, sociales, ambientales y culturales de cada entidad territorial. En este sentido, las demandas, necesidades, potencialidades y limitaciones de los municipios son diversas, lo que hace que los procesos de ordenamiento territorial se diferencien entre sí. Además, estos procesos se desarrollan en contextos urbanos y regionales específicos que deben ser previstos. Por lo tanto, este documento sirve como guía para estructurar un proyecto de inversión dirigido a la revisión del POT, más que como un modelo genérico aplicable de forma uniforme en cualquier municipio del país.</w:t>
      </w:r>
    </w:p>
    <w:p w14:paraId="691236B3" w14:textId="7AC9732D" w:rsidR="00B2755C" w:rsidRDefault="00B2755C" w:rsidP="00344A94">
      <w:pPr>
        <w:rPr>
          <w:lang w:val="es-ES"/>
        </w:rPr>
      </w:pPr>
    </w:p>
    <w:p w14:paraId="1D5472BF" w14:textId="4BC2C45B" w:rsidR="00B2755C" w:rsidRDefault="00B2755C" w:rsidP="00344A94">
      <w:pPr>
        <w:rPr>
          <w:lang w:val="es-ES"/>
        </w:rPr>
      </w:pPr>
    </w:p>
    <w:p w14:paraId="09F3AF07" w14:textId="648E5C75" w:rsidR="00B2755C" w:rsidRDefault="00B2755C" w:rsidP="00344A94">
      <w:pPr>
        <w:rPr>
          <w:lang w:val="es-ES"/>
        </w:rPr>
      </w:pPr>
    </w:p>
    <w:p w14:paraId="447DE831" w14:textId="2D418B06" w:rsidR="00B2755C" w:rsidRDefault="00B2755C" w:rsidP="00344A94">
      <w:pPr>
        <w:rPr>
          <w:lang w:val="es-ES"/>
        </w:rPr>
      </w:pPr>
    </w:p>
    <w:p w14:paraId="467F3C3F" w14:textId="1A371947" w:rsidR="00B2755C" w:rsidRDefault="00B2755C" w:rsidP="00344A94">
      <w:pPr>
        <w:rPr>
          <w:lang w:val="es-ES"/>
        </w:rPr>
      </w:pPr>
    </w:p>
    <w:p w14:paraId="4ED16AD8" w14:textId="52FCC732" w:rsidR="00B2755C" w:rsidRDefault="00B2755C" w:rsidP="00344A94">
      <w:pPr>
        <w:rPr>
          <w:lang w:val="es-ES"/>
        </w:rPr>
      </w:pPr>
    </w:p>
    <w:p w14:paraId="4672A420" w14:textId="370F4D19" w:rsidR="00B2755C" w:rsidRDefault="00B2755C" w:rsidP="00344A94">
      <w:pPr>
        <w:rPr>
          <w:lang w:val="es-ES"/>
        </w:rPr>
      </w:pPr>
    </w:p>
    <w:p w14:paraId="610D7A04" w14:textId="5D0EE5A9" w:rsidR="00B2755C" w:rsidRDefault="00B2755C" w:rsidP="00344A94">
      <w:pPr>
        <w:rPr>
          <w:lang w:val="es-ES"/>
        </w:rPr>
      </w:pPr>
    </w:p>
    <w:p w14:paraId="1F8D680D" w14:textId="0EDD8488" w:rsidR="00B2755C" w:rsidRDefault="00B2755C" w:rsidP="00344A94">
      <w:pPr>
        <w:rPr>
          <w:lang w:val="es-ES"/>
        </w:rPr>
      </w:pPr>
    </w:p>
    <w:p w14:paraId="633205A9" w14:textId="77777777" w:rsidR="00B2755C" w:rsidRPr="00B2755C" w:rsidRDefault="00B2755C" w:rsidP="00344A94">
      <w:pPr>
        <w:rPr>
          <w:lang w:val="es-ES"/>
        </w:rPr>
      </w:pPr>
    </w:p>
    <w:p w14:paraId="0D03EC26" w14:textId="6DA928B1" w:rsidR="00344A94" w:rsidRDefault="00B2755C" w:rsidP="00B2755C">
      <w:pPr>
        <w:pStyle w:val="Prrafodelista"/>
        <w:numPr>
          <w:ilvl w:val="0"/>
          <w:numId w:val="31"/>
        </w:numPr>
        <w:rPr>
          <w:b/>
          <w:lang w:val="es-ES"/>
        </w:rPr>
      </w:pPr>
      <w:r>
        <w:rPr>
          <w:b/>
          <w:lang w:val="es-ES"/>
        </w:rPr>
        <w:t>Objetivito del ordenamiento territorial</w:t>
      </w:r>
    </w:p>
    <w:p w14:paraId="1D74CF69" w14:textId="085A1E6E" w:rsidR="00B2755C" w:rsidRPr="00B2755C" w:rsidRDefault="00B2755C" w:rsidP="00B2755C">
      <w:pPr>
        <w:rPr>
          <w:lang w:val="es-ES"/>
        </w:rPr>
      </w:pPr>
      <w:r w:rsidRPr="00B2755C">
        <w:rPr>
          <w:lang w:val="es-ES"/>
        </w:rPr>
        <w:t>Integrar la planificación económica y social con la planificación física, optimizando las intervenciones en el territorio y guiando su desarroll</w:t>
      </w:r>
      <w:r>
        <w:rPr>
          <w:lang w:val="es-ES"/>
        </w:rPr>
        <w:t>o y uso sostenible a través de:</w:t>
      </w:r>
    </w:p>
    <w:p w14:paraId="2545A8C4" w14:textId="3EEC0D2F" w:rsidR="00B2755C" w:rsidRPr="00B2755C" w:rsidRDefault="00B2755C" w:rsidP="00B2755C">
      <w:pPr>
        <w:pStyle w:val="Prrafodelista"/>
        <w:numPr>
          <w:ilvl w:val="0"/>
          <w:numId w:val="32"/>
        </w:numPr>
        <w:rPr>
          <w:lang w:val="es-ES"/>
        </w:rPr>
      </w:pPr>
      <w:r w:rsidRPr="00B2755C">
        <w:rPr>
          <w:lang w:val="es-ES"/>
        </w:rPr>
        <w:t>La formulación de estrategias territoriales que definan el uso, ocupación y manejo del suelo, alineadas con los objetivos económicos, sociales, urbanísticos y ambientales.</w:t>
      </w:r>
    </w:p>
    <w:p w14:paraId="7C6834D3" w14:textId="0C0C63A6" w:rsidR="00B2755C" w:rsidRPr="00B2755C" w:rsidRDefault="00B2755C" w:rsidP="00B2755C">
      <w:pPr>
        <w:pStyle w:val="Prrafodelista"/>
        <w:numPr>
          <w:ilvl w:val="0"/>
          <w:numId w:val="32"/>
        </w:numPr>
        <w:rPr>
          <w:lang w:val="es-ES"/>
        </w:rPr>
      </w:pPr>
      <w:r w:rsidRPr="00B2755C">
        <w:rPr>
          <w:lang w:val="es-ES"/>
        </w:rPr>
        <w:t>El diseño y adopción de herramientas y procedimientos de gestión que faciliten la ejecución de intervenciones urbanas integrales y la coordinación de las acciones sectoriales que impactan el territorio municipal o distrital.</w:t>
      </w:r>
    </w:p>
    <w:p w14:paraId="4C08498A" w14:textId="707B8E0F" w:rsidR="00B2755C" w:rsidRPr="00B2755C" w:rsidRDefault="00B2755C" w:rsidP="00B2755C">
      <w:pPr>
        <w:pStyle w:val="Prrafodelista"/>
        <w:numPr>
          <w:ilvl w:val="0"/>
          <w:numId w:val="32"/>
        </w:numPr>
        <w:rPr>
          <w:lang w:val="es-ES"/>
        </w:rPr>
      </w:pPr>
      <w:r w:rsidRPr="00B2755C">
        <w:rPr>
          <w:lang w:val="es-ES"/>
        </w:rPr>
        <w:t>La definición de programas y proyectos que materialicen estos objetivos. (Art. 6, Ley 388 de 1997)</w:t>
      </w:r>
    </w:p>
    <w:p w14:paraId="173D3217" w14:textId="77777777" w:rsidR="00344A94" w:rsidRPr="00344A94" w:rsidRDefault="00344A94" w:rsidP="00344A94">
      <w:pPr>
        <w:spacing w:before="16" w:after="16"/>
        <w:rPr>
          <w:rFonts w:cs="Times New Roman"/>
        </w:rPr>
      </w:pPr>
    </w:p>
    <w:p w14:paraId="24755FC7" w14:textId="45E80CD1" w:rsidR="00A17D37" w:rsidRDefault="00A17D37" w:rsidP="008B0E9E">
      <w:pPr>
        <w:spacing w:before="16" w:after="16"/>
        <w:rPr>
          <w:rFonts w:cs="Times New Roman"/>
        </w:rPr>
      </w:pPr>
    </w:p>
    <w:p w14:paraId="72407840" w14:textId="2E5236A6" w:rsidR="00A17D37" w:rsidRDefault="00A17D37" w:rsidP="008B0E9E">
      <w:pPr>
        <w:spacing w:before="16" w:after="16"/>
        <w:rPr>
          <w:rFonts w:cs="Times New Roman"/>
        </w:rPr>
      </w:pPr>
    </w:p>
    <w:p w14:paraId="23073A79" w14:textId="675B0853" w:rsidR="00A17D37" w:rsidRDefault="00A17D37" w:rsidP="008B0E9E">
      <w:pPr>
        <w:spacing w:before="16" w:after="16"/>
        <w:rPr>
          <w:rFonts w:cs="Times New Roman"/>
        </w:rPr>
      </w:pPr>
    </w:p>
    <w:p w14:paraId="2A5B4639" w14:textId="0AA1CC08" w:rsidR="00A17D37" w:rsidRDefault="00A17D37" w:rsidP="008B0E9E">
      <w:pPr>
        <w:spacing w:before="16" w:after="16"/>
        <w:rPr>
          <w:rFonts w:cs="Times New Roman"/>
        </w:rPr>
      </w:pPr>
    </w:p>
    <w:p w14:paraId="7C1D01C7" w14:textId="7FDA3C4E" w:rsidR="00A17D37" w:rsidRDefault="00A17D37" w:rsidP="008B0E9E">
      <w:pPr>
        <w:spacing w:before="16" w:after="16"/>
        <w:rPr>
          <w:rFonts w:cs="Times New Roman"/>
        </w:rPr>
      </w:pPr>
    </w:p>
    <w:p w14:paraId="724876D7" w14:textId="610415B5" w:rsidR="00A17D37" w:rsidRDefault="00A17D37" w:rsidP="008B0E9E">
      <w:pPr>
        <w:spacing w:before="16" w:after="16"/>
        <w:rPr>
          <w:rFonts w:cs="Times New Roman"/>
        </w:rPr>
      </w:pPr>
    </w:p>
    <w:p w14:paraId="74C1A77A" w14:textId="4442F4A6" w:rsidR="00A17D37" w:rsidRDefault="00A17D37" w:rsidP="008B0E9E">
      <w:pPr>
        <w:spacing w:before="16" w:after="16"/>
        <w:rPr>
          <w:rFonts w:cs="Times New Roman"/>
        </w:rPr>
      </w:pPr>
    </w:p>
    <w:p w14:paraId="57B04B8F" w14:textId="214FA330" w:rsidR="00A17D37" w:rsidRDefault="00A17D37" w:rsidP="008B0E9E">
      <w:pPr>
        <w:spacing w:before="16" w:after="16"/>
        <w:rPr>
          <w:rFonts w:cs="Times New Roman"/>
        </w:rPr>
      </w:pPr>
    </w:p>
    <w:p w14:paraId="0734340B" w14:textId="78BD4809" w:rsidR="00A17D37" w:rsidRDefault="00A17D37" w:rsidP="008B0E9E">
      <w:pPr>
        <w:spacing w:before="16" w:after="16"/>
        <w:rPr>
          <w:rFonts w:cs="Times New Roman"/>
        </w:rPr>
      </w:pPr>
    </w:p>
    <w:p w14:paraId="10816A66" w14:textId="4FDB7889" w:rsidR="00A17D37" w:rsidRDefault="00A17D37" w:rsidP="008B0E9E">
      <w:pPr>
        <w:spacing w:before="16" w:after="16"/>
        <w:rPr>
          <w:rFonts w:cs="Times New Roman"/>
        </w:rPr>
      </w:pPr>
    </w:p>
    <w:p w14:paraId="31AC036D" w14:textId="2F0C3667" w:rsidR="00A17D37" w:rsidRDefault="00A17D37" w:rsidP="008B0E9E">
      <w:pPr>
        <w:spacing w:before="16" w:after="16"/>
        <w:rPr>
          <w:rFonts w:cs="Times New Roman"/>
        </w:rPr>
      </w:pPr>
    </w:p>
    <w:p w14:paraId="028FE40A" w14:textId="652C0635" w:rsidR="00A17D37" w:rsidRDefault="00A17D37" w:rsidP="008B0E9E">
      <w:pPr>
        <w:spacing w:before="16" w:after="16"/>
        <w:rPr>
          <w:rFonts w:cs="Times New Roman"/>
        </w:rPr>
      </w:pPr>
    </w:p>
    <w:p w14:paraId="64F71065" w14:textId="753CEE2C" w:rsidR="00A17D37" w:rsidRDefault="00A17D37" w:rsidP="008B0E9E">
      <w:pPr>
        <w:spacing w:before="16" w:after="16"/>
        <w:rPr>
          <w:rFonts w:cs="Times New Roman"/>
        </w:rPr>
      </w:pPr>
    </w:p>
    <w:p w14:paraId="3D89F503" w14:textId="708944A3" w:rsidR="00A17D37" w:rsidRDefault="00A17D37" w:rsidP="008B0E9E">
      <w:pPr>
        <w:spacing w:before="16" w:after="16"/>
        <w:rPr>
          <w:rFonts w:cs="Times New Roman"/>
        </w:rPr>
      </w:pPr>
    </w:p>
    <w:p w14:paraId="5D1B052B" w14:textId="70A22872" w:rsidR="00A17D37" w:rsidRDefault="00A17D37" w:rsidP="008B0E9E">
      <w:pPr>
        <w:spacing w:before="16" w:after="16"/>
        <w:rPr>
          <w:rFonts w:cs="Times New Roman"/>
        </w:rPr>
      </w:pPr>
    </w:p>
    <w:p w14:paraId="17F697DA" w14:textId="6A2C322D" w:rsidR="00A17D37" w:rsidRDefault="00A17D37" w:rsidP="008B0E9E">
      <w:pPr>
        <w:spacing w:before="16" w:after="16"/>
        <w:rPr>
          <w:rFonts w:cs="Times New Roman"/>
        </w:rPr>
      </w:pPr>
    </w:p>
    <w:p w14:paraId="3C8DDA17" w14:textId="28F473DB" w:rsidR="00A17D37" w:rsidRDefault="00A17D37" w:rsidP="008B0E9E">
      <w:pPr>
        <w:spacing w:before="16" w:after="16"/>
        <w:rPr>
          <w:rFonts w:cs="Times New Roman"/>
        </w:rPr>
      </w:pPr>
    </w:p>
    <w:p w14:paraId="450D67AF" w14:textId="2E4F7739" w:rsidR="00A17D37" w:rsidRDefault="00A17D37" w:rsidP="008B0E9E">
      <w:pPr>
        <w:spacing w:before="16" w:after="16"/>
        <w:rPr>
          <w:rFonts w:cs="Times New Roman"/>
        </w:rPr>
      </w:pPr>
    </w:p>
    <w:p w14:paraId="399D8698" w14:textId="70DB9658" w:rsidR="00A17D37" w:rsidRPr="00673A8C" w:rsidRDefault="00673A8C" w:rsidP="00673A8C">
      <w:pPr>
        <w:pStyle w:val="Prrafodelista"/>
        <w:numPr>
          <w:ilvl w:val="0"/>
          <w:numId w:val="31"/>
        </w:numPr>
        <w:spacing w:before="16" w:after="16"/>
        <w:rPr>
          <w:rFonts w:cs="Times New Roman"/>
          <w:b/>
        </w:rPr>
      </w:pPr>
      <w:r w:rsidRPr="00673A8C">
        <w:rPr>
          <w:rFonts w:cs="Times New Roman"/>
          <w:b/>
        </w:rPr>
        <w:t>¿Qué es un Plan de Ordenamiento Territorial?</w:t>
      </w:r>
    </w:p>
    <w:p w14:paraId="51C0B554" w14:textId="77777777" w:rsidR="00673A8C" w:rsidRDefault="00673A8C" w:rsidP="00673A8C">
      <w:pPr>
        <w:spacing w:before="16" w:after="16"/>
        <w:rPr>
          <w:rFonts w:cs="Times New Roman"/>
          <w:lang w:val="es-ES"/>
        </w:rPr>
      </w:pPr>
    </w:p>
    <w:p w14:paraId="1012CD4D" w14:textId="2A4FC837" w:rsidR="00673A8C" w:rsidRPr="00673A8C" w:rsidRDefault="00673A8C" w:rsidP="00673A8C">
      <w:pPr>
        <w:spacing w:before="16" w:after="16"/>
        <w:rPr>
          <w:rFonts w:cs="Times New Roman"/>
        </w:rPr>
      </w:pPr>
      <w:r w:rsidRPr="00673A8C">
        <w:rPr>
          <w:rFonts w:cs="Times New Roman"/>
        </w:rPr>
        <w:t>Un Plan de Ordenamiento Territorial (POT) es una herramienta técnica y normativa que guía la planeación y gestión del territorio municipal. Este plan se compone de diversas acciones como políticas, normas, programas y proyectos, cuyo objetivo es dirigir el desarrollo territorial en el corto, mediano y largo plazo. A través de él, se regula la utilización, ocupación y transformación del territorio, estableciendo un pacto social entre la comunidad y su entorno. La formulación, revisión e implementación del POT están vinculadas con el proceso de planificación territorial.</w:t>
      </w:r>
    </w:p>
    <w:p w14:paraId="3C5AB03B" w14:textId="74414E20" w:rsidR="00673A8C" w:rsidRPr="00673A8C" w:rsidRDefault="00673A8C" w:rsidP="00673A8C">
      <w:pPr>
        <w:pStyle w:val="Prrafodelista"/>
        <w:numPr>
          <w:ilvl w:val="1"/>
          <w:numId w:val="31"/>
        </w:numPr>
        <w:spacing w:before="16" w:after="16"/>
        <w:rPr>
          <w:rFonts w:cs="Times New Roman"/>
          <w:b/>
          <w:bCs/>
        </w:rPr>
      </w:pPr>
      <w:r w:rsidRPr="00673A8C">
        <w:rPr>
          <w:rFonts w:cs="Times New Roman"/>
          <w:b/>
          <w:bCs/>
        </w:rPr>
        <w:t>¿Cuál es la función del POT?</w:t>
      </w:r>
    </w:p>
    <w:p w14:paraId="7E27962E" w14:textId="77777777" w:rsidR="00673A8C" w:rsidRPr="00673A8C" w:rsidRDefault="00673A8C" w:rsidP="00673A8C">
      <w:pPr>
        <w:numPr>
          <w:ilvl w:val="0"/>
          <w:numId w:val="33"/>
        </w:numPr>
        <w:spacing w:before="16" w:after="16"/>
        <w:rPr>
          <w:rFonts w:cs="Times New Roman"/>
        </w:rPr>
      </w:pPr>
      <w:r w:rsidRPr="00673A8C">
        <w:rPr>
          <w:rFonts w:cs="Times New Roman"/>
        </w:rPr>
        <w:t>Mediante el POT, se lleva a cabo la gestión y planificación del territorio, orientando el uso del suelo hacia la transformación y aprovechamiento óptimo del espacio, con el fin de guiar las decisiones municipales sobre el desarrollo territorial.</w:t>
      </w:r>
    </w:p>
    <w:p w14:paraId="4FB95F3E" w14:textId="77777777" w:rsidR="00673A8C" w:rsidRPr="00673A8C" w:rsidRDefault="00673A8C" w:rsidP="00673A8C">
      <w:pPr>
        <w:numPr>
          <w:ilvl w:val="0"/>
          <w:numId w:val="33"/>
        </w:numPr>
        <w:spacing w:before="16" w:after="16"/>
        <w:rPr>
          <w:rFonts w:cs="Times New Roman"/>
        </w:rPr>
      </w:pPr>
      <w:r w:rsidRPr="00673A8C">
        <w:rPr>
          <w:rFonts w:cs="Times New Roman"/>
        </w:rPr>
        <w:t>Actúa como un instrumento que conecta la relación entre la sociedad y su entorno mediante prácticas políticas, sociales, económicas, ambientales y culturales.</w:t>
      </w:r>
    </w:p>
    <w:p w14:paraId="1587A32B" w14:textId="77777777" w:rsidR="00673A8C" w:rsidRPr="00673A8C" w:rsidRDefault="00673A8C" w:rsidP="00673A8C">
      <w:pPr>
        <w:numPr>
          <w:ilvl w:val="0"/>
          <w:numId w:val="33"/>
        </w:numPr>
        <w:spacing w:before="16" w:after="16"/>
        <w:rPr>
          <w:rFonts w:cs="Times New Roman"/>
        </w:rPr>
      </w:pPr>
      <w:r w:rsidRPr="00673A8C">
        <w:rPr>
          <w:rFonts w:cs="Times New Roman"/>
        </w:rPr>
        <w:t>Define el rumbo del municipio conforme a la visión estratégica de desarrollo territorial.</w:t>
      </w:r>
    </w:p>
    <w:p w14:paraId="0F8B73B4" w14:textId="77777777" w:rsidR="00673A8C" w:rsidRPr="00673A8C" w:rsidRDefault="00673A8C" w:rsidP="00673A8C">
      <w:pPr>
        <w:numPr>
          <w:ilvl w:val="0"/>
          <w:numId w:val="33"/>
        </w:numPr>
        <w:spacing w:before="16" w:after="16"/>
        <w:rPr>
          <w:rFonts w:cs="Times New Roman"/>
        </w:rPr>
      </w:pPr>
      <w:r w:rsidRPr="00673A8C">
        <w:rPr>
          <w:rFonts w:cs="Times New Roman"/>
        </w:rPr>
        <w:t>Complementa el Plan de Desarrollo Municipal en lo que respecta a la gestión territorial, promoviendo el desarrollo mediante la regulación y transformación del espacio.</w:t>
      </w:r>
    </w:p>
    <w:p w14:paraId="73E27403" w14:textId="095FB9E1" w:rsidR="00673A8C" w:rsidRPr="00673A8C" w:rsidRDefault="00673A8C" w:rsidP="00673A8C">
      <w:pPr>
        <w:pStyle w:val="Prrafodelista"/>
        <w:numPr>
          <w:ilvl w:val="1"/>
          <w:numId w:val="31"/>
        </w:numPr>
        <w:spacing w:before="16" w:after="16"/>
        <w:rPr>
          <w:rFonts w:cs="Times New Roman"/>
          <w:b/>
          <w:bCs/>
        </w:rPr>
      </w:pPr>
      <w:r w:rsidRPr="00673A8C">
        <w:rPr>
          <w:rFonts w:cs="Times New Roman"/>
          <w:b/>
          <w:bCs/>
        </w:rPr>
        <w:t>Importancia del POT</w:t>
      </w:r>
    </w:p>
    <w:p w14:paraId="51899D10" w14:textId="77777777" w:rsidR="00673A8C" w:rsidRPr="00673A8C" w:rsidRDefault="00673A8C" w:rsidP="00673A8C">
      <w:pPr>
        <w:numPr>
          <w:ilvl w:val="0"/>
          <w:numId w:val="34"/>
        </w:numPr>
        <w:spacing w:before="16" w:after="16"/>
        <w:rPr>
          <w:rFonts w:cs="Times New Roman"/>
        </w:rPr>
      </w:pPr>
      <w:r w:rsidRPr="00673A8C">
        <w:rPr>
          <w:rFonts w:cs="Times New Roman"/>
        </w:rPr>
        <w:t>Otorga autonomía a los municipios para planificar y gestionar su territorio.</w:t>
      </w:r>
    </w:p>
    <w:p w14:paraId="275B3FF6" w14:textId="77777777" w:rsidR="00673A8C" w:rsidRPr="00673A8C" w:rsidRDefault="00673A8C" w:rsidP="00673A8C">
      <w:pPr>
        <w:numPr>
          <w:ilvl w:val="0"/>
          <w:numId w:val="34"/>
        </w:numPr>
        <w:spacing w:before="16" w:after="16"/>
        <w:rPr>
          <w:rFonts w:cs="Times New Roman"/>
        </w:rPr>
      </w:pPr>
      <w:r w:rsidRPr="00673A8C">
        <w:rPr>
          <w:rFonts w:cs="Times New Roman"/>
        </w:rPr>
        <w:t>Facilita el acceso a recursos financieros y cofinanciación estatal.</w:t>
      </w:r>
    </w:p>
    <w:p w14:paraId="72B18F57" w14:textId="77777777" w:rsidR="00673A8C" w:rsidRPr="00673A8C" w:rsidRDefault="00673A8C" w:rsidP="00673A8C">
      <w:pPr>
        <w:numPr>
          <w:ilvl w:val="0"/>
          <w:numId w:val="34"/>
        </w:numPr>
        <w:spacing w:before="16" w:after="16"/>
        <w:rPr>
          <w:rFonts w:cs="Times New Roman"/>
        </w:rPr>
      </w:pPr>
      <w:r w:rsidRPr="00673A8C">
        <w:rPr>
          <w:rFonts w:cs="Times New Roman"/>
        </w:rPr>
        <w:t>Permite la ejecución de proyectos de infraestructura y la obtención de subsidios para Vivienda de Interés Social.</w:t>
      </w:r>
    </w:p>
    <w:p w14:paraId="20D4E7AE" w14:textId="77777777" w:rsidR="00673A8C" w:rsidRPr="00673A8C" w:rsidRDefault="00673A8C" w:rsidP="00673A8C">
      <w:pPr>
        <w:numPr>
          <w:ilvl w:val="0"/>
          <w:numId w:val="34"/>
        </w:numPr>
        <w:spacing w:before="16" w:after="16"/>
        <w:rPr>
          <w:rFonts w:cs="Times New Roman"/>
        </w:rPr>
      </w:pPr>
      <w:r w:rsidRPr="00673A8C">
        <w:rPr>
          <w:rFonts w:cs="Times New Roman"/>
        </w:rPr>
        <w:t>Promueve un uso equitativo y racional del suelo, la preservación del patrimonio ecológico y cultural, y la reducción del riesgo de desastres.</w:t>
      </w:r>
    </w:p>
    <w:p w14:paraId="22C8C76B" w14:textId="77777777" w:rsidR="00673A8C" w:rsidRPr="00673A8C" w:rsidRDefault="00673A8C" w:rsidP="00673A8C">
      <w:pPr>
        <w:numPr>
          <w:ilvl w:val="0"/>
          <w:numId w:val="34"/>
        </w:numPr>
        <w:spacing w:before="16" w:after="16"/>
        <w:rPr>
          <w:rFonts w:cs="Times New Roman"/>
        </w:rPr>
      </w:pPr>
      <w:r w:rsidRPr="00673A8C">
        <w:rPr>
          <w:rFonts w:cs="Times New Roman"/>
        </w:rPr>
        <w:lastRenderedPageBreak/>
        <w:t>Facilita la distribución justa de cargas y beneficios, y mejora la calidad de vida de los habitantes.</w:t>
      </w:r>
    </w:p>
    <w:p w14:paraId="0B97191C" w14:textId="1B1E89F7" w:rsidR="00673A8C" w:rsidRPr="00673A8C" w:rsidRDefault="00673A8C" w:rsidP="00673A8C">
      <w:pPr>
        <w:pStyle w:val="Prrafodelista"/>
        <w:numPr>
          <w:ilvl w:val="1"/>
          <w:numId w:val="31"/>
        </w:numPr>
        <w:spacing w:before="16" w:after="16"/>
        <w:rPr>
          <w:rFonts w:cs="Times New Roman"/>
          <w:b/>
          <w:bCs/>
        </w:rPr>
      </w:pPr>
      <w:r w:rsidRPr="00673A8C">
        <w:rPr>
          <w:rFonts w:cs="Times New Roman"/>
          <w:b/>
          <w:bCs/>
        </w:rPr>
        <w:t>¿Por qué se elabora el POT?</w:t>
      </w:r>
    </w:p>
    <w:p w14:paraId="3EAAF45B" w14:textId="77777777" w:rsidR="00673A8C" w:rsidRPr="00673A8C" w:rsidRDefault="00673A8C" w:rsidP="00673A8C">
      <w:pPr>
        <w:numPr>
          <w:ilvl w:val="0"/>
          <w:numId w:val="35"/>
        </w:numPr>
        <w:spacing w:before="16" w:after="16"/>
        <w:rPr>
          <w:rFonts w:cs="Times New Roman"/>
        </w:rPr>
      </w:pPr>
      <w:r w:rsidRPr="00673A8C">
        <w:rPr>
          <w:rFonts w:cs="Times New Roman"/>
        </w:rPr>
        <w:t>Para construir un modelo de ocupación del territorio.</w:t>
      </w:r>
    </w:p>
    <w:p w14:paraId="3F6D0ED7" w14:textId="77777777" w:rsidR="00673A8C" w:rsidRPr="00673A8C" w:rsidRDefault="00673A8C" w:rsidP="00673A8C">
      <w:pPr>
        <w:numPr>
          <w:ilvl w:val="0"/>
          <w:numId w:val="35"/>
        </w:numPr>
        <w:spacing w:before="16" w:after="16"/>
        <w:rPr>
          <w:rFonts w:cs="Times New Roman"/>
        </w:rPr>
      </w:pPr>
      <w:r w:rsidRPr="00673A8C">
        <w:rPr>
          <w:rFonts w:cs="Times New Roman"/>
        </w:rPr>
        <w:t>Para mejorar la administración y gestión pública.</w:t>
      </w:r>
    </w:p>
    <w:p w14:paraId="55DF2865" w14:textId="77777777" w:rsidR="00673A8C" w:rsidRPr="00673A8C" w:rsidRDefault="00673A8C" w:rsidP="00673A8C">
      <w:pPr>
        <w:numPr>
          <w:ilvl w:val="0"/>
          <w:numId w:val="35"/>
        </w:numPr>
        <w:spacing w:before="16" w:after="16"/>
        <w:rPr>
          <w:rFonts w:cs="Times New Roman"/>
        </w:rPr>
      </w:pPr>
      <w:r w:rsidRPr="00673A8C">
        <w:rPr>
          <w:rFonts w:cs="Times New Roman"/>
        </w:rPr>
        <w:t>Para planificar integralmente el desarrollo territorial a mediano y largo plazo.</w:t>
      </w:r>
    </w:p>
    <w:p w14:paraId="6D1D7FCF" w14:textId="77777777" w:rsidR="00673A8C" w:rsidRPr="00673A8C" w:rsidRDefault="00673A8C" w:rsidP="00673A8C">
      <w:pPr>
        <w:numPr>
          <w:ilvl w:val="0"/>
          <w:numId w:val="35"/>
        </w:numPr>
        <w:spacing w:before="16" w:after="16"/>
        <w:rPr>
          <w:rFonts w:cs="Times New Roman"/>
        </w:rPr>
      </w:pPr>
      <w:r w:rsidRPr="00673A8C">
        <w:rPr>
          <w:rFonts w:cs="Times New Roman"/>
        </w:rPr>
        <w:t>Para garantizar la protección de los recursos naturales.</w:t>
      </w:r>
    </w:p>
    <w:p w14:paraId="1FBD0F3A" w14:textId="77777777" w:rsidR="00673A8C" w:rsidRPr="00673A8C" w:rsidRDefault="00673A8C" w:rsidP="00673A8C">
      <w:pPr>
        <w:numPr>
          <w:ilvl w:val="0"/>
          <w:numId w:val="35"/>
        </w:numPr>
        <w:spacing w:before="16" w:after="16"/>
        <w:rPr>
          <w:rFonts w:cs="Times New Roman"/>
        </w:rPr>
      </w:pPr>
      <w:r w:rsidRPr="00673A8C">
        <w:rPr>
          <w:rFonts w:cs="Times New Roman"/>
        </w:rPr>
        <w:t>Para mejorar las condiciones socioeconómicas y habitacionales de los habitantes.</w:t>
      </w:r>
    </w:p>
    <w:p w14:paraId="32FDF49F" w14:textId="77777777" w:rsidR="00673A8C" w:rsidRPr="00673A8C" w:rsidRDefault="00673A8C" w:rsidP="00673A8C">
      <w:pPr>
        <w:numPr>
          <w:ilvl w:val="0"/>
          <w:numId w:val="35"/>
        </w:numPr>
        <w:spacing w:before="16" w:after="16"/>
        <w:rPr>
          <w:rFonts w:cs="Times New Roman"/>
        </w:rPr>
      </w:pPr>
      <w:r w:rsidRPr="00673A8C">
        <w:rPr>
          <w:rFonts w:cs="Times New Roman"/>
        </w:rPr>
        <w:t>Para gestionar el riesgo de desastres de manera efectiva.</w:t>
      </w:r>
    </w:p>
    <w:p w14:paraId="539E355A" w14:textId="1AFA2574" w:rsidR="00673A8C" w:rsidRPr="00673A8C" w:rsidRDefault="00673A8C" w:rsidP="00673A8C">
      <w:pPr>
        <w:pStyle w:val="Prrafodelista"/>
        <w:numPr>
          <w:ilvl w:val="1"/>
          <w:numId w:val="31"/>
        </w:numPr>
        <w:spacing w:before="16" w:after="16"/>
        <w:rPr>
          <w:rFonts w:cs="Times New Roman"/>
          <w:b/>
          <w:bCs/>
        </w:rPr>
      </w:pPr>
      <w:r w:rsidRPr="00673A8C">
        <w:rPr>
          <w:rFonts w:cs="Times New Roman"/>
          <w:b/>
          <w:bCs/>
        </w:rPr>
        <w:t>Riesgos de no contar con un POT</w:t>
      </w:r>
    </w:p>
    <w:p w14:paraId="7771A35F" w14:textId="77777777" w:rsidR="00673A8C" w:rsidRPr="00673A8C" w:rsidRDefault="00673A8C" w:rsidP="00673A8C">
      <w:pPr>
        <w:spacing w:before="16" w:after="16"/>
        <w:rPr>
          <w:rFonts w:cs="Times New Roman"/>
        </w:rPr>
      </w:pPr>
      <w:r w:rsidRPr="00673A8C">
        <w:rPr>
          <w:rFonts w:cs="Times New Roman"/>
        </w:rPr>
        <w:t>En términos de gestión territorial, la ausencia de un POT puede resultar en inversiones públicas desordenadas, aumento del riesgo y degradación ecológica. En lo social, puede provocar un deterioro en la calidad de vida de la población.</w:t>
      </w:r>
    </w:p>
    <w:p w14:paraId="5D956002" w14:textId="6435D10A" w:rsidR="00673A8C" w:rsidRPr="00673A8C" w:rsidRDefault="00673A8C" w:rsidP="00673A8C">
      <w:pPr>
        <w:pStyle w:val="Prrafodelista"/>
        <w:numPr>
          <w:ilvl w:val="1"/>
          <w:numId w:val="31"/>
        </w:numPr>
        <w:spacing w:before="16" w:after="16"/>
        <w:rPr>
          <w:rFonts w:cs="Times New Roman"/>
          <w:b/>
          <w:bCs/>
        </w:rPr>
      </w:pPr>
      <w:r w:rsidRPr="00673A8C">
        <w:rPr>
          <w:rFonts w:cs="Times New Roman"/>
          <w:b/>
          <w:bCs/>
        </w:rPr>
        <w:t>¿Es obligatoria la revisión del POT?</w:t>
      </w:r>
    </w:p>
    <w:p w14:paraId="4691072A" w14:textId="10AAA609" w:rsidR="00673A8C" w:rsidRDefault="00673A8C" w:rsidP="00673A8C">
      <w:pPr>
        <w:spacing w:before="16" w:after="16"/>
        <w:rPr>
          <w:rFonts w:cs="Times New Roman"/>
        </w:rPr>
      </w:pPr>
      <w:r w:rsidRPr="00673A8C">
        <w:rPr>
          <w:rFonts w:cs="Times New Roman"/>
        </w:rPr>
        <w:t>El artículo 23 de la Ley 388 de 1997 establece que las administraciones municipales y distritales deben iniciar el trámite de revisión o formulación del POT seis meses antes de su vencimiento. Además, el artículo 6 de la Ley 1551 de 2012 señala que estos planes deben ser revisados cada 12 años, lo que constituye un mandato obligatorio para las autoridades competentes.</w:t>
      </w:r>
    </w:p>
    <w:p w14:paraId="7DB07258" w14:textId="751F9A51" w:rsidR="00673A8C" w:rsidRDefault="00673A8C" w:rsidP="00673A8C">
      <w:pPr>
        <w:spacing w:before="16" w:after="16"/>
        <w:rPr>
          <w:rFonts w:cs="Times New Roman"/>
        </w:rPr>
      </w:pPr>
    </w:p>
    <w:p w14:paraId="58701B79" w14:textId="5FDAC925" w:rsidR="00673A8C" w:rsidRDefault="00673A8C" w:rsidP="00673A8C">
      <w:pPr>
        <w:spacing w:before="16" w:after="16"/>
        <w:rPr>
          <w:rFonts w:cs="Times New Roman"/>
        </w:rPr>
      </w:pPr>
    </w:p>
    <w:p w14:paraId="676388A0" w14:textId="707D4973" w:rsidR="00673A8C" w:rsidRDefault="00673A8C" w:rsidP="00673A8C">
      <w:pPr>
        <w:spacing w:before="16" w:after="16"/>
        <w:rPr>
          <w:rFonts w:cs="Times New Roman"/>
        </w:rPr>
      </w:pPr>
    </w:p>
    <w:p w14:paraId="1177AD20" w14:textId="37397147" w:rsidR="00673A8C" w:rsidRDefault="00673A8C" w:rsidP="00673A8C">
      <w:pPr>
        <w:spacing w:before="16" w:after="16"/>
        <w:rPr>
          <w:rFonts w:cs="Times New Roman"/>
        </w:rPr>
      </w:pPr>
    </w:p>
    <w:p w14:paraId="31BB83AA" w14:textId="01B6E68E" w:rsidR="00673A8C" w:rsidRDefault="00673A8C" w:rsidP="00673A8C">
      <w:pPr>
        <w:spacing w:before="16" w:after="16"/>
        <w:rPr>
          <w:rFonts w:cs="Times New Roman"/>
        </w:rPr>
      </w:pPr>
    </w:p>
    <w:p w14:paraId="60B7883C" w14:textId="7BF25DE8" w:rsidR="00673A8C" w:rsidRDefault="00673A8C" w:rsidP="00673A8C">
      <w:pPr>
        <w:spacing w:before="16" w:after="16"/>
        <w:rPr>
          <w:rFonts w:cs="Times New Roman"/>
        </w:rPr>
      </w:pPr>
    </w:p>
    <w:p w14:paraId="1C0984A5" w14:textId="34326F0E" w:rsidR="00673A8C" w:rsidRDefault="00673A8C" w:rsidP="00673A8C">
      <w:pPr>
        <w:spacing w:before="16" w:after="16"/>
        <w:rPr>
          <w:rFonts w:cs="Times New Roman"/>
        </w:rPr>
      </w:pPr>
    </w:p>
    <w:p w14:paraId="0DDB4002" w14:textId="2F3350FD" w:rsidR="00673A8C" w:rsidRDefault="00673A8C" w:rsidP="00673A8C">
      <w:pPr>
        <w:spacing w:before="16" w:after="16"/>
        <w:rPr>
          <w:rFonts w:cs="Times New Roman"/>
        </w:rPr>
      </w:pPr>
    </w:p>
    <w:p w14:paraId="5EB6BF98" w14:textId="23E10136" w:rsidR="00673A8C" w:rsidRDefault="00673A8C" w:rsidP="00673A8C">
      <w:pPr>
        <w:spacing w:before="16" w:after="16"/>
        <w:rPr>
          <w:rFonts w:cs="Times New Roman"/>
        </w:rPr>
      </w:pPr>
    </w:p>
    <w:p w14:paraId="09F84A0A" w14:textId="153D17CF" w:rsidR="00673A8C" w:rsidRDefault="00673A8C" w:rsidP="00673A8C">
      <w:pPr>
        <w:spacing w:before="16" w:after="16"/>
        <w:rPr>
          <w:rFonts w:cs="Times New Roman"/>
        </w:rPr>
      </w:pPr>
    </w:p>
    <w:p w14:paraId="63C72030" w14:textId="77777777" w:rsidR="00673A8C" w:rsidRPr="00673A8C" w:rsidRDefault="00673A8C" w:rsidP="00673A8C">
      <w:pPr>
        <w:spacing w:before="16" w:after="16"/>
        <w:rPr>
          <w:rFonts w:cs="Times New Roman"/>
        </w:rPr>
      </w:pPr>
    </w:p>
    <w:p w14:paraId="44CCB950" w14:textId="22F0483F" w:rsidR="00673A8C" w:rsidRPr="00EE2ABF" w:rsidRDefault="00673A8C" w:rsidP="00EE2ABF">
      <w:pPr>
        <w:pStyle w:val="Prrafodelista"/>
        <w:numPr>
          <w:ilvl w:val="0"/>
          <w:numId w:val="31"/>
        </w:numPr>
        <w:spacing w:before="16" w:after="16"/>
        <w:rPr>
          <w:rFonts w:cs="Times New Roman"/>
          <w:b/>
          <w:bCs/>
        </w:rPr>
      </w:pPr>
      <w:r w:rsidRPr="00EE2ABF">
        <w:rPr>
          <w:rFonts w:cs="Times New Roman"/>
          <w:b/>
          <w:bCs/>
        </w:rPr>
        <w:lastRenderedPageBreak/>
        <w:t>Tipos de POT</w:t>
      </w:r>
    </w:p>
    <w:p w14:paraId="33239692" w14:textId="3C55BFAD" w:rsidR="00673A8C" w:rsidRDefault="00673A8C" w:rsidP="00673A8C">
      <w:pPr>
        <w:spacing w:before="16" w:after="16"/>
        <w:rPr>
          <w:rFonts w:cs="Times New Roman"/>
        </w:rPr>
      </w:pPr>
      <w:r w:rsidRPr="00673A8C">
        <w:rPr>
          <w:rFonts w:cs="Times New Roman"/>
        </w:rPr>
        <w:t>La Ley 388 de 1997 clasifica los planes de ordenamiento territorial en tres tipos, según la población del municipio: Plan de Ordenamiento Territorial (POT), Plan Básico de Ordenamiento Territorial (PBOT) y Esquema de Ordenamiento Territorial (EOT). Todos estos tipos están comprendidos bajo el término general de planes de ordenamiento territorial.</w:t>
      </w:r>
    </w:p>
    <w:p w14:paraId="1230DEAB" w14:textId="34EB6CC7" w:rsidR="00EE2ABF" w:rsidRDefault="00EE2ABF" w:rsidP="00EE2ABF">
      <w:pPr>
        <w:spacing w:before="16" w:after="16"/>
        <w:jc w:val="center"/>
        <w:rPr>
          <w:rFonts w:cs="Times New Roman"/>
        </w:rPr>
      </w:pPr>
      <w:r w:rsidRPr="00EE2ABF">
        <w:rPr>
          <w:rFonts w:cs="Times New Roman"/>
          <w:noProof/>
        </w:rPr>
        <w:drawing>
          <wp:inline distT="0" distB="0" distL="0" distR="0" wp14:anchorId="21ED4A7A" wp14:editId="031E1A81">
            <wp:extent cx="4905375" cy="32219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7885" cy="3230179"/>
                    </a:xfrm>
                    <a:prstGeom prst="rect">
                      <a:avLst/>
                    </a:prstGeom>
                  </pic:spPr>
                </pic:pic>
              </a:graphicData>
            </a:graphic>
          </wp:inline>
        </w:drawing>
      </w:r>
    </w:p>
    <w:p w14:paraId="6DF07E3D" w14:textId="09005378" w:rsidR="00EE2ABF" w:rsidRDefault="00EE2ABF" w:rsidP="00EE2ABF">
      <w:pPr>
        <w:spacing w:before="16" w:after="16"/>
        <w:rPr>
          <w:rFonts w:cs="Times New Roman"/>
        </w:rPr>
      </w:pPr>
      <w:r w:rsidRPr="002A6260">
        <w:rPr>
          <w:rFonts w:cs="Times New Roman"/>
        </w:rPr>
        <w:t>Fuente: (Minvivienda, 2023)</w:t>
      </w:r>
    </w:p>
    <w:p w14:paraId="6C8EE3C7" w14:textId="40C54A8B" w:rsidR="00024144" w:rsidRDefault="00024144" w:rsidP="00EE2ABF">
      <w:pPr>
        <w:spacing w:before="16" w:after="16"/>
        <w:rPr>
          <w:rFonts w:cs="Times New Roman"/>
        </w:rPr>
      </w:pPr>
    </w:p>
    <w:p w14:paraId="6BC99D12" w14:textId="309BAEEE" w:rsidR="00024144" w:rsidRDefault="00024144" w:rsidP="00EE2ABF">
      <w:pPr>
        <w:spacing w:before="16" w:after="16"/>
        <w:rPr>
          <w:rFonts w:cs="Times New Roman"/>
        </w:rPr>
      </w:pPr>
    </w:p>
    <w:p w14:paraId="5F92AFCF" w14:textId="196F7FC1" w:rsidR="00024144" w:rsidRDefault="00024144" w:rsidP="00EE2ABF">
      <w:pPr>
        <w:spacing w:before="16" w:after="16"/>
        <w:rPr>
          <w:rFonts w:cs="Times New Roman"/>
        </w:rPr>
      </w:pPr>
    </w:p>
    <w:p w14:paraId="6584C3A3" w14:textId="31522AB8" w:rsidR="00024144" w:rsidRDefault="00024144" w:rsidP="00EE2ABF">
      <w:pPr>
        <w:spacing w:before="16" w:after="16"/>
        <w:rPr>
          <w:rFonts w:cs="Times New Roman"/>
        </w:rPr>
      </w:pPr>
    </w:p>
    <w:p w14:paraId="383D9AE7" w14:textId="2E6C6364" w:rsidR="00024144" w:rsidRDefault="00024144" w:rsidP="00EE2ABF">
      <w:pPr>
        <w:spacing w:before="16" w:after="16"/>
        <w:rPr>
          <w:rFonts w:cs="Times New Roman"/>
        </w:rPr>
      </w:pPr>
    </w:p>
    <w:p w14:paraId="0F2DB425" w14:textId="6764A77C" w:rsidR="00024144" w:rsidRDefault="00024144" w:rsidP="00EE2ABF">
      <w:pPr>
        <w:spacing w:before="16" w:after="16"/>
        <w:rPr>
          <w:rFonts w:cs="Times New Roman"/>
        </w:rPr>
      </w:pPr>
    </w:p>
    <w:p w14:paraId="1B7A3B28" w14:textId="3B3C31B7" w:rsidR="00024144" w:rsidRDefault="00024144" w:rsidP="00EE2ABF">
      <w:pPr>
        <w:spacing w:before="16" w:after="16"/>
        <w:rPr>
          <w:rFonts w:cs="Times New Roman"/>
        </w:rPr>
      </w:pPr>
    </w:p>
    <w:p w14:paraId="0F4C1E90" w14:textId="763D2F0F" w:rsidR="00024144" w:rsidRDefault="00024144" w:rsidP="00EE2ABF">
      <w:pPr>
        <w:spacing w:before="16" w:after="16"/>
        <w:rPr>
          <w:rFonts w:cs="Times New Roman"/>
        </w:rPr>
      </w:pPr>
    </w:p>
    <w:p w14:paraId="24434DDC" w14:textId="450EAAB1" w:rsidR="00024144" w:rsidRDefault="00024144" w:rsidP="00EE2ABF">
      <w:pPr>
        <w:spacing w:before="16" w:after="16"/>
        <w:rPr>
          <w:rFonts w:cs="Times New Roman"/>
        </w:rPr>
      </w:pPr>
    </w:p>
    <w:p w14:paraId="5EB723DD" w14:textId="32E7ADC7" w:rsidR="00024144" w:rsidRDefault="00024144" w:rsidP="00EE2ABF">
      <w:pPr>
        <w:spacing w:before="16" w:after="16"/>
        <w:rPr>
          <w:rFonts w:cs="Times New Roman"/>
        </w:rPr>
      </w:pPr>
    </w:p>
    <w:p w14:paraId="7D02729F" w14:textId="77777777" w:rsidR="00024144" w:rsidRPr="002A6260" w:rsidRDefault="00024144" w:rsidP="00EE2ABF">
      <w:pPr>
        <w:spacing w:before="16" w:after="16"/>
        <w:rPr>
          <w:rFonts w:cs="Times New Roman"/>
        </w:rPr>
      </w:pPr>
    </w:p>
    <w:p w14:paraId="64E1432D" w14:textId="77777777" w:rsidR="00673A8C" w:rsidRPr="00673A8C" w:rsidRDefault="00673A8C" w:rsidP="00673A8C">
      <w:pPr>
        <w:spacing w:before="16" w:after="16"/>
        <w:rPr>
          <w:rFonts w:cs="Times New Roman"/>
        </w:rPr>
      </w:pPr>
    </w:p>
    <w:p w14:paraId="453D7034" w14:textId="055EE06B" w:rsidR="00A17D37" w:rsidRPr="00CE3362" w:rsidRDefault="00CE3362" w:rsidP="00CE3362">
      <w:pPr>
        <w:pStyle w:val="Prrafodelista"/>
        <w:numPr>
          <w:ilvl w:val="0"/>
          <w:numId w:val="31"/>
        </w:numPr>
        <w:spacing w:before="16" w:after="16"/>
        <w:rPr>
          <w:rFonts w:cs="Times New Roman"/>
          <w:b/>
        </w:rPr>
      </w:pPr>
      <w:r w:rsidRPr="00CE3362">
        <w:rPr>
          <w:rFonts w:cs="Times New Roman"/>
          <w:b/>
        </w:rPr>
        <w:lastRenderedPageBreak/>
        <w:t>¿Cómo armonizar el Plan de Desarrollo municipal y el POT?</w:t>
      </w:r>
    </w:p>
    <w:p w14:paraId="4D7CBE1E" w14:textId="459671C5" w:rsidR="00A17D37" w:rsidRDefault="00A17D37" w:rsidP="008B0E9E">
      <w:pPr>
        <w:spacing w:before="16" w:after="16"/>
        <w:rPr>
          <w:rFonts w:cs="Times New Roman"/>
        </w:rPr>
      </w:pPr>
    </w:p>
    <w:p w14:paraId="4F2CA19C" w14:textId="77777777" w:rsidR="00CE3362" w:rsidRPr="00CE3362" w:rsidRDefault="00CE3362" w:rsidP="00CE3362">
      <w:r w:rsidRPr="00CE3362">
        <w:t>Aunque el plan de desarrollo refleja los compromisos de los alcaldes al inicio de su mandato, es crucial considerar la importancia de articularlo con el Plan de Ordenamiento Territorial (POT). Dado que el POT es una herramienta de planificación a largo plazo, muchas de las decisiones territoriales ya pueden estar establecidas, y corresponde al plan de desarrollo priorizar los recursos y mecanismos para ejecutar el POT vigente.</w:t>
      </w:r>
    </w:p>
    <w:p w14:paraId="7E40BB07" w14:textId="77777777" w:rsidR="00CE3362" w:rsidRPr="00CE3362" w:rsidRDefault="00CE3362" w:rsidP="00CE3362"/>
    <w:p w14:paraId="76CACAAA" w14:textId="50F8EEFB" w:rsidR="00CE3362" w:rsidRPr="00CE3362" w:rsidRDefault="00CE3362" w:rsidP="00CE3362">
      <w:r w:rsidRPr="00CE3362">
        <w:t>El punto clave para lograr esta articulación es integrar el programa de ejecución del POT en el plan de inversiones del plan de desarrollo. De esta manera, el alcalde podrá presentarlo ante el concejo para su aprobación. En el plan de inversiones deben converger los proyectos estratégicos que promuevan el desarrollo integral del municipio, así como los derivados del</w:t>
      </w:r>
      <w:r>
        <w:t xml:space="preserve"> programa de ejecución del POT.</w:t>
      </w:r>
    </w:p>
    <w:p w14:paraId="5CADC9E1" w14:textId="6AE1C68F" w:rsidR="00CE3362" w:rsidRPr="00CE3362" w:rsidRDefault="00CE3362" w:rsidP="00CE3362">
      <w:r w:rsidRPr="00CE3362">
        <w:t xml:space="preserve">Es fundamental recordar que los POT establecen un modelo de ocupación del territorio municipal o distrital, indicando la estructura física básica para su ordenamiento y las acciones necesarias para su implementación en los componentes general, urbano y rural. Este modelo debe ser ejecutado durante los tres períodos constitucionales de vigencia del POT, y los planes de desarrollo municipales deben incluir los programas y proyectos correspondientes al periodo vigente, en función de su horizonte temporal </w:t>
      </w:r>
      <w:r>
        <w:t>(corto, mediano o largo plazo).</w:t>
      </w:r>
    </w:p>
    <w:p w14:paraId="3797697C" w14:textId="1226A617" w:rsidR="00A17D37" w:rsidRDefault="00CE3362" w:rsidP="00CE3362">
      <w:r w:rsidRPr="00CE3362">
        <w:t>La Ley 388 de 1997, en su artículo 21, establece la relación entre el plan de desarrollo y el POT, señalando que el POT define un modelo de ocupación del territorio a largo y mediano plazo. Este modelo establece la estructura básica del territorio y las acciones necesarias para su ordenación, las cuales deben ser consideradas al formular los programas y proyectos de los planes de desarrollo municipales.</w:t>
      </w:r>
    </w:p>
    <w:p w14:paraId="639F50CB" w14:textId="674DDDDA" w:rsidR="00A17D37" w:rsidRDefault="00CE3362" w:rsidP="008B0E9E">
      <w:pPr>
        <w:spacing w:before="16" w:after="16"/>
        <w:rPr>
          <w:rFonts w:cs="Times New Roman"/>
        </w:rPr>
      </w:pPr>
      <w:r w:rsidRPr="00CE3362">
        <w:rPr>
          <w:rFonts w:cs="Times New Roman"/>
          <w:b/>
        </w:rPr>
        <w:t>Figura 2.</w:t>
      </w:r>
      <w:r>
        <w:rPr>
          <w:rFonts w:cs="Times New Roman"/>
        </w:rPr>
        <w:t xml:space="preserve"> Requerimientos del municipio a nivel administrativo financiero para revisar el POT</w:t>
      </w:r>
    </w:p>
    <w:p w14:paraId="6E10D836" w14:textId="2CAFC40D" w:rsidR="00A17D37" w:rsidRDefault="00CE3362" w:rsidP="008B0E9E">
      <w:pPr>
        <w:spacing w:before="16" w:after="16"/>
        <w:rPr>
          <w:rFonts w:cs="Times New Roman"/>
        </w:rPr>
      </w:pPr>
      <w:r w:rsidRPr="00CE3362">
        <w:rPr>
          <w:rFonts w:cs="Times New Roman"/>
          <w:noProof/>
        </w:rPr>
        <w:lastRenderedPageBreak/>
        <w:drawing>
          <wp:inline distT="0" distB="0" distL="0" distR="0" wp14:anchorId="48B8E5AE" wp14:editId="24D0C230">
            <wp:extent cx="5612130" cy="346837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68370"/>
                    </a:xfrm>
                    <a:prstGeom prst="rect">
                      <a:avLst/>
                    </a:prstGeom>
                  </pic:spPr>
                </pic:pic>
              </a:graphicData>
            </a:graphic>
          </wp:inline>
        </w:drawing>
      </w:r>
    </w:p>
    <w:p w14:paraId="6E00FD7D" w14:textId="37098B4A" w:rsidR="00024144" w:rsidRDefault="00024144" w:rsidP="008B0E9E">
      <w:pPr>
        <w:spacing w:before="16" w:after="16"/>
        <w:rPr>
          <w:rFonts w:cs="Times New Roman"/>
        </w:rPr>
      </w:pPr>
    </w:p>
    <w:p w14:paraId="0431587F" w14:textId="741CC5F8" w:rsidR="00024144" w:rsidRDefault="00024144" w:rsidP="008B0E9E">
      <w:pPr>
        <w:spacing w:before="16" w:after="16"/>
        <w:rPr>
          <w:rFonts w:cs="Times New Roman"/>
        </w:rPr>
      </w:pPr>
    </w:p>
    <w:p w14:paraId="0EE3A007" w14:textId="61F43AF7" w:rsidR="00024144" w:rsidRDefault="00024144" w:rsidP="008B0E9E">
      <w:pPr>
        <w:spacing w:before="16" w:after="16"/>
        <w:rPr>
          <w:rFonts w:cs="Times New Roman"/>
        </w:rPr>
      </w:pPr>
    </w:p>
    <w:p w14:paraId="718703A6" w14:textId="63A3E30D" w:rsidR="00024144" w:rsidRDefault="00024144" w:rsidP="008B0E9E">
      <w:pPr>
        <w:spacing w:before="16" w:after="16"/>
        <w:rPr>
          <w:rFonts w:cs="Times New Roman"/>
        </w:rPr>
      </w:pPr>
    </w:p>
    <w:p w14:paraId="214A4B5B" w14:textId="3A39AF89" w:rsidR="00024144" w:rsidRDefault="00024144" w:rsidP="008B0E9E">
      <w:pPr>
        <w:spacing w:before="16" w:after="16"/>
        <w:rPr>
          <w:rFonts w:cs="Times New Roman"/>
        </w:rPr>
      </w:pPr>
    </w:p>
    <w:p w14:paraId="520FED91" w14:textId="4819A280" w:rsidR="00024144" w:rsidRDefault="00024144" w:rsidP="008B0E9E">
      <w:pPr>
        <w:spacing w:before="16" w:after="16"/>
        <w:rPr>
          <w:rFonts w:cs="Times New Roman"/>
        </w:rPr>
      </w:pPr>
    </w:p>
    <w:p w14:paraId="1A7BE5A3" w14:textId="1E256F97" w:rsidR="00024144" w:rsidRDefault="00024144" w:rsidP="008B0E9E">
      <w:pPr>
        <w:spacing w:before="16" w:after="16"/>
        <w:rPr>
          <w:rFonts w:cs="Times New Roman"/>
        </w:rPr>
      </w:pPr>
    </w:p>
    <w:p w14:paraId="1D36B160" w14:textId="563F6838" w:rsidR="00024144" w:rsidRDefault="00024144" w:rsidP="008B0E9E">
      <w:pPr>
        <w:spacing w:before="16" w:after="16"/>
        <w:rPr>
          <w:rFonts w:cs="Times New Roman"/>
        </w:rPr>
      </w:pPr>
    </w:p>
    <w:p w14:paraId="598E1CF6" w14:textId="3BF9E36E" w:rsidR="00024144" w:rsidRDefault="00024144" w:rsidP="008B0E9E">
      <w:pPr>
        <w:spacing w:before="16" w:after="16"/>
        <w:rPr>
          <w:rFonts w:cs="Times New Roman"/>
        </w:rPr>
      </w:pPr>
    </w:p>
    <w:p w14:paraId="7C96D989" w14:textId="42245029" w:rsidR="00024144" w:rsidRDefault="00024144" w:rsidP="008B0E9E">
      <w:pPr>
        <w:spacing w:before="16" w:after="16"/>
        <w:rPr>
          <w:rFonts w:cs="Times New Roman"/>
        </w:rPr>
      </w:pPr>
    </w:p>
    <w:p w14:paraId="0624043F" w14:textId="2EC3A613" w:rsidR="00024144" w:rsidRDefault="00024144" w:rsidP="008B0E9E">
      <w:pPr>
        <w:spacing w:before="16" w:after="16"/>
        <w:rPr>
          <w:rFonts w:cs="Times New Roman"/>
        </w:rPr>
      </w:pPr>
    </w:p>
    <w:p w14:paraId="22C701CB" w14:textId="479C88E2" w:rsidR="00024144" w:rsidRDefault="00024144" w:rsidP="008B0E9E">
      <w:pPr>
        <w:spacing w:before="16" w:after="16"/>
        <w:rPr>
          <w:rFonts w:cs="Times New Roman"/>
        </w:rPr>
      </w:pPr>
    </w:p>
    <w:p w14:paraId="5B3C3285" w14:textId="2F6B1227" w:rsidR="00024144" w:rsidRDefault="00024144" w:rsidP="008B0E9E">
      <w:pPr>
        <w:spacing w:before="16" w:after="16"/>
        <w:rPr>
          <w:rFonts w:cs="Times New Roman"/>
        </w:rPr>
      </w:pPr>
    </w:p>
    <w:p w14:paraId="39A422FB" w14:textId="68DED597" w:rsidR="00024144" w:rsidRDefault="00024144" w:rsidP="008B0E9E">
      <w:pPr>
        <w:spacing w:before="16" w:after="16"/>
        <w:rPr>
          <w:rFonts w:cs="Times New Roman"/>
        </w:rPr>
      </w:pPr>
    </w:p>
    <w:p w14:paraId="47B4FCF6" w14:textId="055953EB" w:rsidR="00024144" w:rsidRDefault="00024144" w:rsidP="008B0E9E">
      <w:pPr>
        <w:spacing w:before="16" w:after="16"/>
        <w:rPr>
          <w:rFonts w:cs="Times New Roman"/>
        </w:rPr>
      </w:pPr>
    </w:p>
    <w:p w14:paraId="6D95D0DA" w14:textId="277A1B41" w:rsidR="00024144" w:rsidRDefault="00024144" w:rsidP="008B0E9E">
      <w:pPr>
        <w:spacing w:before="16" w:after="16"/>
        <w:rPr>
          <w:rFonts w:cs="Times New Roman"/>
        </w:rPr>
      </w:pPr>
    </w:p>
    <w:p w14:paraId="138FD875" w14:textId="106FB1CF" w:rsidR="00A17D37" w:rsidRDefault="00A17D37" w:rsidP="008B0E9E">
      <w:pPr>
        <w:spacing w:before="16" w:after="16"/>
        <w:rPr>
          <w:rFonts w:cs="Times New Roman"/>
        </w:rPr>
      </w:pPr>
    </w:p>
    <w:p w14:paraId="2805199C" w14:textId="20D14921" w:rsidR="00A17D37" w:rsidRPr="00CE3362" w:rsidRDefault="00CE3362" w:rsidP="00CE3362">
      <w:pPr>
        <w:pStyle w:val="Prrafodelista"/>
        <w:numPr>
          <w:ilvl w:val="0"/>
          <w:numId w:val="31"/>
        </w:numPr>
        <w:spacing w:before="16" w:after="16"/>
        <w:rPr>
          <w:rFonts w:cs="Times New Roman"/>
          <w:b/>
        </w:rPr>
      </w:pPr>
      <w:r w:rsidRPr="00CE3362">
        <w:rPr>
          <w:rFonts w:cs="Times New Roman"/>
          <w:b/>
        </w:rPr>
        <w:lastRenderedPageBreak/>
        <w:t>¿Cuál es la Vigencia del POT?</w:t>
      </w:r>
    </w:p>
    <w:p w14:paraId="5940F82D" w14:textId="77777777" w:rsidR="00CE3362" w:rsidRDefault="00CE3362" w:rsidP="008B0E9E">
      <w:pPr>
        <w:spacing w:before="16" w:after="16"/>
        <w:rPr>
          <w:rFonts w:cs="Times New Roman"/>
        </w:rPr>
      </w:pPr>
    </w:p>
    <w:p w14:paraId="6691DEF7" w14:textId="08F9265A" w:rsidR="00CE3362" w:rsidRDefault="00CE3362" w:rsidP="008B0E9E">
      <w:pPr>
        <w:spacing w:before="16" w:after="16"/>
        <w:rPr>
          <w:rFonts w:cs="Times New Roman"/>
        </w:rPr>
      </w:pPr>
      <w:r w:rsidRPr="00CE3362">
        <w:rPr>
          <w:rFonts w:cs="Times New Roman"/>
        </w:rPr>
        <w:t>La vigencia de los POT es de tres períodos constitucionales completos. Estos se deben calcular a partir del momento en que el municipio adopta el instrumento y para mayor claridad se puede hacer referencia en la gráfica siguiente. Por ejemplo, si la adopción del POT se realizó a mediados de 2012, se entenderá que la vigencia de corto plazo incluirá todo el período constitucional hasta el 31.12.2019 y el siguiente período constitucional, ya que el período 2012-2015, no puede considerarse completo. Así mismo, la vigencia de mediano plazo se ejecutará en el período 2020-2023 y la de largo plazo en el período 2024-2027.</w:t>
      </w:r>
    </w:p>
    <w:p w14:paraId="4274DBEE" w14:textId="2C7DBA01" w:rsidR="00CE3362" w:rsidRDefault="00CE3362" w:rsidP="008B0E9E">
      <w:pPr>
        <w:spacing w:before="16" w:after="16"/>
        <w:rPr>
          <w:rFonts w:cs="Times New Roman"/>
        </w:rPr>
      </w:pPr>
    </w:p>
    <w:p w14:paraId="6E55822A" w14:textId="663A6A25" w:rsidR="00CE3362" w:rsidRDefault="00CE3362" w:rsidP="008B0E9E">
      <w:pPr>
        <w:spacing w:before="16" w:after="16"/>
        <w:rPr>
          <w:rFonts w:cs="Times New Roman"/>
        </w:rPr>
      </w:pPr>
      <w:r w:rsidRPr="00CE3362">
        <w:rPr>
          <w:rFonts w:cs="Times New Roman"/>
          <w:noProof/>
        </w:rPr>
        <w:drawing>
          <wp:inline distT="0" distB="0" distL="0" distR="0" wp14:anchorId="6A06EA80" wp14:editId="61094558">
            <wp:extent cx="5612130" cy="2986405"/>
            <wp:effectExtent l="0" t="0" r="762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986405"/>
                    </a:xfrm>
                    <a:prstGeom prst="rect">
                      <a:avLst/>
                    </a:prstGeom>
                  </pic:spPr>
                </pic:pic>
              </a:graphicData>
            </a:graphic>
          </wp:inline>
        </w:drawing>
      </w:r>
    </w:p>
    <w:p w14:paraId="0785C53C" w14:textId="31EC4785" w:rsidR="00CE3362" w:rsidRDefault="00CE3362" w:rsidP="008B0E9E">
      <w:pPr>
        <w:spacing w:before="16" w:after="16"/>
        <w:rPr>
          <w:rFonts w:cs="Times New Roman"/>
        </w:rPr>
      </w:pPr>
    </w:p>
    <w:p w14:paraId="75826A01" w14:textId="77777777" w:rsidR="00CE3362" w:rsidRPr="002A6260" w:rsidRDefault="00CE3362" w:rsidP="00CE3362">
      <w:pPr>
        <w:spacing w:before="16" w:after="16"/>
        <w:rPr>
          <w:rFonts w:cs="Times New Roman"/>
        </w:rPr>
      </w:pPr>
      <w:r w:rsidRPr="002A6260">
        <w:rPr>
          <w:rFonts w:cs="Times New Roman"/>
        </w:rPr>
        <w:t>Fuente: (Minvivienda, 2023)</w:t>
      </w:r>
    </w:p>
    <w:p w14:paraId="5080800C" w14:textId="27299204" w:rsidR="00CE3362" w:rsidRDefault="00CE3362" w:rsidP="008B0E9E">
      <w:pPr>
        <w:spacing w:before="16" w:after="16"/>
        <w:rPr>
          <w:rFonts w:cs="Times New Roman"/>
        </w:rPr>
      </w:pPr>
    </w:p>
    <w:p w14:paraId="00D35B6E" w14:textId="0557F5E2" w:rsidR="00CE3362" w:rsidRDefault="00D22ABA" w:rsidP="00D22ABA">
      <w:pPr>
        <w:pStyle w:val="Prrafodelista"/>
        <w:numPr>
          <w:ilvl w:val="1"/>
          <w:numId w:val="31"/>
        </w:numPr>
        <w:spacing w:before="16" w:after="16"/>
        <w:rPr>
          <w:rFonts w:cs="Times New Roman"/>
          <w:b/>
        </w:rPr>
      </w:pPr>
      <w:r w:rsidRPr="00D22ABA">
        <w:rPr>
          <w:rFonts w:cs="Times New Roman"/>
          <w:b/>
        </w:rPr>
        <w:t>Contenido de los POT’s y su vigencia</w:t>
      </w:r>
    </w:p>
    <w:p w14:paraId="1A808864" w14:textId="6D5783D7" w:rsidR="00D22ABA" w:rsidRDefault="00D22ABA" w:rsidP="00D22ABA">
      <w:pPr>
        <w:spacing w:before="16" w:after="16"/>
        <w:rPr>
          <w:rFonts w:cs="Times New Roman"/>
          <w:b/>
        </w:rPr>
      </w:pPr>
    </w:p>
    <w:p w14:paraId="5169C1BF" w14:textId="58AE56EF" w:rsidR="00D22ABA" w:rsidRDefault="00D22ABA" w:rsidP="00D22ABA">
      <w:pPr>
        <w:spacing w:before="16" w:after="16"/>
        <w:rPr>
          <w:rFonts w:cs="Times New Roman"/>
        </w:rPr>
      </w:pPr>
      <w:r w:rsidRPr="00D22ABA">
        <w:rPr>
          <w:rFonts w:cs="Times New Roman"/>
        </w:rPr>
        <w:t>La ley 388 de 1997 estableció los contenidos de los planes de ordenamiento territorial, los cuales se desarrollan durante la etapa de formulación y hacen referencia a lo siguiente:</w:t>
      </w:r>
    </w:p>
    <w:p w14:paraId="3349EFB5" w14:textId="6CB0766B" w:rsidR="00D22ABA" w:rsidRDefault="00D22ABA" w:rsidP="00D22ABA">
      <w:pPr>
        <w:spacing w:before="16" w:after="16"/>
        <w:rPr>
          <w:rFonts w:cs="Times New Roman"/>
        </w:rPr>
      </w:pPr>
      <w:r w:rsidRPr="00D22ABA">
        <w:rPr>
          <w:rFonts w:cs="Times New Roman"/>
          <w:noProof/>
        </w:rPr>
        <w:lastRenderedPageBreak/>
        <w:drawing>
          <wp:inline distT="0" distB="0" distL="0" distR="0" wp14:anchorId="7BD1239C" wp14:editId="3877F2F5">
            <wp:extent cx="5612130" cy="2872105"/>
            <wp:effectExtent l="0" t="0" r="762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872105"/>
                    </a:xfrm>
                    <a:prstGeom prst="rect">
                      <a:avLst/>
                    </a:prstGeom>
                  </pic:spPr>
                </pic:pic>
              </a:graphicData>
            </a:graphic>
          </wp:inline>
        </w:drawing>
      </w:r>
    </w:p>
    <w:p w14:paraId="140A6A4A" w14:textId="15C7CA9C" w:rsidR="00D22ABA" w:rsidRDefault="00D22ABA" w:rsidP="00D22ABA">
      <w:pPr>
        <w:spacing w:before="16" w:after="16"/>
        <w:rPr>
          <w:rFonts w:cs="Times New Roman"/>
        </w:rPr>
      </w:pPr>
      <w:r w:rsidRPr="00D22ABA">
        <w:rPr>
          <w:rFonts w:cs="Times New Roman"/>
        </w:rPr>
        <w:t>En ese sentido, el esquema ayuda a entender que el POT define acciones específicas para cada plazo y a partir de los contenidos; en consecuencia, éstos agotan su vigencia en un determinado momento y de acuerdo con el esquema anterior. Al caducarse las vigencias o por otros motivos contemplados en la norma, corresponde la posibilidad por parte del municipio o distrito de proceder al ajuste de los diferentes contenidos.</w:t>
      </w:r>
    </w:p>
    <w:p w14:paraId="054978FC" w14:textId="77777777" w:rsidR="00D22ABA" w:rsidRPr="00D22ABA" w:rsidRDefault="00D22ABA" w:rsidP="00D22ABA">
      <w:pPr>
        <w:spacing w:before="16" w:after="16"/>
        <w:rPr>
          <w:rFonts w:cs="Times New Roman"/>
          <w:b/>
        </w:rPr>
      </w:pPr>
      <w:r w:rsidRPr="00D22ABA">
        <w:rPr>
          <w:rFonts w:cs="Times New Roman"/>
          <w:b/>
        </w:rPr>
        <w:t>Decreto 1077 de 2015 Art. 2.2.2.1.2.2.7)</w:t>
      </w:r>
    </w:p>
    <w:p w14:paraId="340CBDA2" w14:textId="282EA4EA" w:rsidR="00D22ABA" w:rsidRDefault="00D22ABA" w:rsidP="00D22ABA">
      <w:pPr>
        <w:spacing w:before="16" w:after="16"/>
        <w:rPr>
          <w:rFonts w:cs="Times New Roman"/>
        </w:rPr>
      </w:pPr>
      <w:r w:rsidRPr="00D22ABA">
        <w:rPr>
          <w:rFonts w:cs="Times New Roman"/>
        </w:rPr>
        <w:t>Los municipios y distritos tienen la obligación de adoptar su primer POT</w:t>
      </w:r>
    </w:p>
    <w:p w14:paraId="207975EF" w14:textId="77777777" w:rsidR="00D22ABA" w:rsidRDefault="00D22ABA" w:rsidP="00D22ABA">
      <w:pPr>
        <w:spacing w:before="16" w:after="16"/>
        <w:rPr>
          <w:rFonts w:cs="Times New Roman"/>
        </w:rPr>
      </w:pPr>
    </w:p>
    <w:p w14:paraId="6787FE35" w14:textId="2400CD21" w:rsidR="00024144" w:rsidRDefault="00D22ABA" w:rsidP="00D22ABA">
      <w:pPr>
        <w:spacing w:before="16" w:after="16"/>
        <w:rPr>
          <w:rFonts w:cs="Times New Roman"/>
        </w:rPr>
      </w:pPr>
      <w:r w:rsidRPr="00D22ABA">
        <w:rPr>
          <w:rFonts w:cs="Times New Roman"/>
          <w:noProof/>
        </w:rPr>
        <w:drawing>
          <wp:inline distT="0" distB="0" distL="0" distR="0" wp14:anchorId="55A6DA68" wp14:editId="74F9359F">
            <wp:extent cx="5612130" cy="267144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71445"/>
                    </a:xfrm>
                    <a:prstGeom prst="rect">
                      <a:avLst/>
                    </a:prstGeom>
                  </pic:spPr>
                </pic:pic>
              </a:graphicData>
            </a:graphic>
          </wp:inline>
        </w:drawing>
      </w:r>
    </w:p>
    <w:p w14:paraId="3D3FD289" w14:textId="77777777" w:rsidR="00024144" w:rsidRPr="00D22ABA" w:rsidRDefault="00024144" w:rsidP="00D22ABA">
      <w:pPr>
        <w:spacing w:before="16" w:after="16"/>
        <w:rPr>
          <w:rFonts w:cs="Times New Roman"/>
        </w:rPr>
      </w:pPr>
    </w:p>
    <w:p w14:paraId="2801A559" w14:textId="5A75A45D" w:rsidR="00D22ABA" w:rsidRPr="00024144" w:rsidRDefault="00D22ABA" w:rsidP="00D22ABA">
      <w:pPr>
        <w:pStyle w:val="Prrafodelista"/>
        <w:numPr>
          <w:ilvl w:val="0"/>
          <w:numId w:val="31"/>
        </w:numPr>
        <w:spacing w:before="16" w:after="16"/>
        <w:jc w:val="center"/>
        <w:rPr>
          <w:rFonts w:cs="Times New Roman"/>
          <w:b/>
        </w:rPr>
      </w:pPr>
      <w:r w:rsidRPr="00D22ABA">
        <w:rPr>
          <w:rFonts w:cs="Times New Roman"/>
          <w:b/>
        </w:rPr>
        <w:t>Normas urbanísticas</w:t>
      </w:r>
    </w:p>
    <w:p w14:paraId="772F12C6" w14:textId="1799B470" w:rsidR="00A17D37" w:rsidRDefault="00D22ABA" w:rsidP="008B0E9E">
      <w:pPr>
        <w:spacing w:before="16" w:after="16"/>
        <w:rPr>
          <w:rFonts w:cs="Times New Roman"/>
        </w:rPr>
      </w:pPr>
      <w:r w:rsidRPr="00D22ABA">
        <w:rPr>
          <w:rFonts w:cs="Times New Roman"/>
        </w:rPr>
        <w:t>Las normas urbanísticas hacen parte del POT: regulan el uso, la ocupación y el aprovechamiento del suelo y definen la naturaleza y las consecuencias de las actuaciones urbanísticas indispensables para la implementación del POT. De acuerdo con su naturaleza (normas estructurales, generales y complementarias) tienen una relación con las vigencias de los contenidos del POT y, a partir de esta característica, es posible entender a que apuntan y cuando pueden revisarse o ajustarse:</w:t>
      </w:r>
    </w:p>
    <w:p w14:paraId="7EABED7F" w14:textId="57591045" w:rsidR="00D22ABA" w:rsidRDefault="00D22ABA" w:rsidP="008B0E9E">
      <w:pPr>
        <w:spacing w:before="16" w:after="16"/>
        <w:rPr>
          <w:rFonts w:cs="Times New Roman"/>
        </w:rPr>
      </w:pPr>
      <w:r w:rsidRPr="00D22ABA">
        <w:rPr>
          <w:rFonts w:cs="Times New Roman"/>
          <w:noProof/>
        </w:rPr>
        <w:drawing>
          <wp:inline distT="0" distB="0" distL="0" distR="0" wp14:anchorId="0ED21716" wp14:editId="331D6954">
            <wp:extent cx="5612130" cy="336042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60420"/>
                    </a:xfrm>
                    <a:prstGeom prst="rect">
                      <a:avLst/>
                    </a:prstGeom>
                  </pic:spPr>
                </pic:pic>
              </a:graphicData>
            </a:graphic>
          </wp:inline>
        </w:drawing>
      </w:r>
    </w:p>
    <w:p w14:paraId="0D405761" w14:textId="665EE451" w:rsidR="00A17D37" w:rsidRDefault="00A17D37" w:rsidP="008B0E9E">
      <w:pPr>
        <w:spacing w:before="16" w:after="16"/>
        <w:rPr>
          <w:rFonts w:cs="Times New Roman"/>
        </w:rPr>
      </w:pPr>
    </w:p>
    <w:p w14:paraId="6169F41B" w14:textId="38C6933D" w:rsidR="00024144" w:rsidRDefault="00024144" w:rsidP="008B0E9E">
      <w:pPr>
        <w:spacing w:before="16" w:after="16"/>
        <w:rPr>
          <w:rFonts w:cs="Times New Roman"/>
        </w:rPr>
      </w:pPr>
    </w:p>
    <w:p w14:paraId="350B666C" w14:textId="11652038" w:rsidR="00024144" w:rsidRDefault="00024144" w:rsidP="008B0E9E">
      <w:pPr>
        <w:spacing w:before="16" w:after="16"/>
        <w:rPr>
          <w:rFonts w:cs="Times New Roman"/>
        </w:rPr>
      </w:pPr>
    </w:p>
    <w:p w14:paraId="6F91B5CB" w14:textId="43F82874" w:rsidR="00024144" w:rsidRDefault="00024144" w:rsidP="008B0E9E">
      <w:pPr>
        <w:spacing w:before="16" w:after="16"/>
        <w:rPr>
          <w:rFonts w:cs="Times New Roman"/>
        </w:rPr>
      </w:pPr>
    </w:p>
    <w:p w14:paraId="2234BFC9" w14:textId="5CAE4D19" w:rsidR="00024144" w:rsidRDefault="00024144" w:rsidP="008B0E9E">
      <w:pPr>
        <w:spacing w:before="16" w:after="16"/>
        <w:rPr>
          <w:rFonts w:cs="Times New Roman"/>
        </w:rPr>
      </w:pPr>
    </w:p>
    <w:p w14:paraId="25D09213" w14:textId="4D809C26" w:rsidR="00024144" w:rsidRDefault="00024144" w:rsidP="008B0E9E">
      <w:pPr>
        <w:spacing w:before="16" w:after="16"/>
        <w:rPr>
          <w:rFonts w:cs="Times New Roman"/>
        </w:rPr>
      </w:pPr>
    </w:p>
    <w:p w14:paraId="59F32EF3" w14:textId="615D159D" w:rsidR="00024144" w:rsidRDefault="00024144" w:rsidP="008B0E9E">
      <w:pPr>
        <w:spacing w:before="16" w:after="16"/>
        <w:rPr>
          <w:rFonts w:cs="Times New Roman"/>
        </w:rPr>
      </w:pPr>
    </w:p>
    <w:p w14:paraId="4B13131B" w14:textId="35D0E24E" w:rsidR="00024144" w:rsidRDefault="00024144" w:rsidP="008B0E9E">
      <w:pPr>
        <w:spacing w:before="16" w:after="16"/>
        <w:rPr>
          <w:rFonts w:cs="Times New Roman"/>
        </w:rPr>
      </w:pPr>
    </w:p>
    <w:p w14:paraId="48F1D013" w14:textId="5E0DEC41" w:rsidR="00024144" w:rsidRDefault="00024144" w:rsidP="008B0E9E">
      <w:pPr>
        <w:spacing w:before="16" w:after="16"/>
        <w:rPr>
          <w:rFonts w:cs="Times New Roman"/>
        </w:rPr>
      </w:pPr>
    </w:p>
    <w:p w14:paraId="6797CC9E" w14:textId="2539C57E" w:rsidR="00D22ABA" w:rsidRPr="00D22ABA" w:rsidRDefault="00D22ABA" w:rsidP="00024144">
      <w:pPr>
        <w:pStyle w:val="Prrafodelista"/>
        <w:numPr>
          <w:ilvl w:val="0"/>
          <w:numId w:val="31"/>
        </w:numPr>
        <w:spacing w:before="16" w:after="16"/>
        <w:jc w:val="center"/>
        <w:rPr>
          <w:rFonts w:cs="Times New Roman"/>
          <w:b/>
        </w:rPr>
      </w:pPr>
      <w:r w:rsidRPr="00D22ABA">
        <w:rPr>
          <w:rFonts w:cs="Times New Roman"/>
          <w:b/>
        </w:rPr>
        <w:lastRenderedPageBreak/>
        <w:t>Determinantes del Ordenamiento</w:t>
      </w:r>
    </w:p>
    <w:p w14:paraId="345A3B28" w14:textId="1BA202FF" w:rsidR="00D22ABA" w:rsidRDefault="00D22ABA" w:rsidP="00D22ABA">
      <w:pPr>
        <w:spacing w:before="16" w:after="16"/>
        <w:rPr>
          <w:rFonts w:cs="Times New Roman"/>
        </w:rPr>
      </w:pPr>
      <w:r w:rsidRPr="00D22ABA">
        <w:rPr>
          <w:rFonts w:cs="Times New Roman"/>
        </w:rPr>
        <w:t>El marco legal colombiano establece diversas áreas de actuación en materia de ordenamiento territorial, con especial atención a la protección ambiental, la preservación del patrimonio cultural y la provisión de infraestructura. La Ley 388 de 1997, en su artículo 10, señala varios aspectos clave que deben ser considerados en la planeación territorial. A continuación, se presentan los principales puntos establecidos por dicha normativa:</w:t>
      </w:r>
    </w:p>
    <w:p w14:paraId="52E70E0E" w14:textId="2D3519A7" w:rsidR="00D22ABA" w:rsidRPr="00D22ABA" w:rsidRDefault="00D22ABA" w:rsidP="00D22ABA">
      <w:pPr>
        <w:pStyle w:val="Prrafodelista"/>
        <w:numPr>
          <w:ilvl w:val="0"/>
          <w:numId w:val="32"/>
        </w:numPr>
        <w:spacing w:before="16" w:after="16"/>
        <w:rPr>
          <w:rFonts w:cs="Times New Roman"/>
          <w:b/>
        </w:rPr>
      </w:pPr>
      <w:r w:rsidRPr="00D22ABA">
        <w:rPr>
          <w:rFonts w:cs="Times New Roman"/>
          <w:b/>
        </w:rPr>
        <w:t>Medio ambiente</w:t>
      </w:r>
    </w:p>
    <w:p w14:paraId="0512FFF0" w14:textId="77777777" w:rsidR="00D22ABA" w:rsidRPr="00D22ABA" w:rsidRDefault="00D22ABA" w:rsidP="00D22ABA">
      <w:pPr>
        <w:spacing w:before="16" w:after="16"/>
        <w:rPr>
          <w:rFonts w:cs="Times New Roman"/>
        </w:rPr>
      </w:pPr>
      <w:r w:rsidRPr="00D22ABA">
        <w:rPr>
          <w:rFonts w:cs="Times New Roman"/>
        </w:rPr>
        <w:t>Artículo 10 ley 388 de 1997 numeral 1</w:t>
      </w:r>
    </w:p>
    <w:p w14:paraId="782EE513" w14:textId="3289B6DB" w:rsidR="00D22ABA" w:rsidRPr="00D22ABA" w:rsidRDefault="00D22ABA" w:rsidP="00D22ABA">
      <w:pPr>
        <w:spacing w:before="16" w:after="16"/>
        <w:rPr>
          <w:rFonts w:cs="Times New Roman"/>
        </w:rPr>
      </w:pPr>
      <w:r w:rsidRPr="00D22ABA">
        <w:rPr>
          <w:rFonts w:cs="Times New Roman"/>
        </w:rPr>
        <w:t>Relacionadas con la conservación y protección del medio ambiente, los recursos naturales y la prevención d</w:t>
      </w:r>
      <w:r>
        <w:rPr>
          <w:rFonts w:cs="Times New Roman"/>
        </w:rPr>
        <w:t>e amenazas y riesgos naturales.</w:t>
      </w:r>
    </w:p>
    <w:p w14:paraId="3A16F7E6" w14:textId="7D36FA1E" w:rsidR="00D22ABA" w:rsidRPr="00D22ABA" w:rsidRDefault="00D22ABA" w:rsidP="00D22ABA">
      <w:pPr>
        <w:pStyle w:val="Prrafodelista"/>
        <w:numPr>
          <w:ilvl w:val="0"/>
          <w:numId w:val="32"/>
        </w:numPr>
        <w:spacing w:before="16" w:after="16"/>
        <w:rPr>
          <w:rFonts w:cs="Times New Roman"/>
          <w:b/>
        </w:rPr>
      </w:pPr>
      <w:r w:rsidRPr="00D22ABA">
        <w:rPr>
          <w:rFonts w:cs="Times New Roman"/>
          <w:b/>
        </w:rPr>
        <w:t>Patrimonio</w:t>
      </w:r>
    </w:p>
    <w:p w14:paraId="1E30FEE9" w14:textId="77777777" w:rsidR="00D22ABA" w:rsidRPr="00D22ABA" w:rsidRDefault="00D22ABA" w:rsidP="00D22ABA">
      <w:pPr>
        <w:spacing w:before="16" w:after="16"/>
        <w:rPr>
          <w:rFonts w:cs="Times New Roman"/>
        </w:rPr>
      </w:pPr>
      <w:r w:rsidRPr="00D22ABA">
        <w:rPr>
          <w:rFonts w:cs="Times New Roman"/>
        </w:rPr>
        <w:t>Artículo 10 ley 388 de 1997 numeral 2</w:t>
      </w:r>
    </w:p>
    <w:p w14:paraId="58AFE7A4" w14:textId="77777777" w:rsidR="00D22ABA" w:rsidRPr="00D22ABA" w:rsidRDefault="00D22ABA" w:rsidP="00D22ABA">
      <w:pPr>
        <w:spacing w:before="16" w:after="16"/>
        <w:rPr>
          <w:rFonts w:cs="Times New Roman"/>
        </w:rPr>
      </w:pPr>
      <w:r w:rsidRPr="00D22ABA">
        <w:rPr>
          <w:rFonts w:cs="Times New Roman"/>
        </w:rPr>
        <w:t>Las relacionadas con la conservación, preservación y uso de las áreas e inmuebles considerados como patrimonio cultural de la nación y de los departamentos, incluyendo el histórico, artístico y arquitectónico.</w:t>
      </w:r>
    </w:p>
    <w:p w14:paraId="6F5664DA" w14:textId="77777777" w:rsidR="00D22ABA" w:rsidRPr="00D22ABA" w:rsidRDefault="00D22ABA" w:rsidP="00D22ABA">
      <w:pPr>
        <w:spacing w:before="16" w:after="16"/>
        <w:rPr>
          <w:rFonts w:cs="Times New Roman"/>
        </w:rPr>
      </w:pPr>
    </w:p>
    <w:p w14:paraId="6067FD13" w14:textId="195B4667" w:rsidR="00D22ABA" w:rsidRPr="00D22ABA" w:rsidRDefault="00D22ABA" w:rsidP="00D22ABA">
      <w:pPr>
        <w:pStyle w:val="Prrafodelista"/>
        <w:numPr>
          <w:ilvl w:val="0"/>
          <w:numId w:val="32"/>
        </w:numPr>
        <w:spacing w:before="16" w:after="16"/>
        <w:rPr>
          <w:rFonts w:cs="Times New Roman"/>
          <w:b/>
        </w:rPr>
      </w:pPr>
      <w:r w:rsidRPr="00D22ABA">
        <w:rPr>
          <w:rFonts w:cs="Times New Roman"/>
          <w:b/>
        </w:rPr>
        <w:t>Infraestructura</w:t>
      </w:r>
    </w:p>
    <w:p w14:paraId="1064A1BD" w14:textId="77777777" w:rsidR="00D22ABA" w:rsidRPr="00D22ABA" w:rsidRDefault="00D22ABA" w:rsidP="00D22ABA">
      <w:pPr>
        <w:spacing w:before="16" w:after="16"/>
        <w:rPr>
          <w:rFonts w:cs="Times New Roman"/>
        </w:rPr>
      </w:pPr>
      <w:r w:rsidRPr="00D22ABA">
        <w:rPr>
          <w:rFonts w:cs="Times New Roman"/>
        </w:rPr>
        <w:t>Artículo 10 ley 388 de 1997 numeral 3</w:t>
      </w:r>
    </w:p>
    <w:p w14:paraId="5A91324E" w14:textId="61714F51" w:rsidR="00D22ABA" w:rsidRPr="00D22ABA" w:rsidRDefault="00D22ABA" w:rsidP="00D22ABA">
      <w:pPr>
        <w:spacing w:before="16" w:after="16"/>
        <w:rPr>
          <w:rFonts w:cs="Times New Roman"/>
        </w:rPr>
      </w:pPr>
      <w:r w:rsidRPr="00D22ABA">
        <w:rPr>
          <w:rFonts w:cs="Times New Roman"/>
        </w:rPr>
        <w:t>Las relacionadas con infraestructura básica relativa a la red vial nacional y regional, puertos y aeropuertos, sistemas de abastecimiento de agua, sanea</w:t>
      </w:r>
      <w:r>
        <w:rPr>
          <w:rFonts w:cs="Times New Roman"/>
        </w:rPr>
        <w:t>miento y suministro de energía.</w:t>
      </w:r>
    </w:p>
    <w:p w14:paraId="0F43C69C" w14:textId="1B82E9F8" w:rsidR="00D22ABA" w:rsidRPr="00D22ABA" w:rsidRDefault="00D22ABA" w:rsidP="00D22ABA">
      <w:pPr>
        <w:pStyle w:val="Prrafodelista"/>
        <w:numPr>
          <w:ilvl w:val="0"/>
          <w:numId w:val="32"/>
        </w:numPr>
        <w:spacing w:before="16" w:after="16"/>
        <w:rPr>
          <w:rFonts w:cs="Times New Roman"/>
          <w:b/>
        </w:rPr>
      </w:pPr>
      <w:r w:rsidRPr="00D22ABA">
        <w:rPr>
          <w:rFonts w:cs="Times New Roman"/>
          <w:b/>
        </w:rPr>
        <w:t>Hechos metropolitanos</w:t>
      </w:r>
    </w:p>
    <w:p w14:paraId="36271435" w14:textId="77777777" w:rsidR="00D22ABA" w:rsidRPr="00D22ABA" w:rsidRDefault="00D22ABA" w:rsidP="00D22ABA">
      <w:pPr>
        <w:spacing w:before="16" w:after="16"/>
        <w:rPr>
          <w:rFonts w:cs="Times New Roman"/>
        </w:rPr>
      </w:pPr>
      <w:r w:rsidRPr="00D22ABA">
        <w:rPr>
          <w:rFonts w:cs="Times New Roman"/>
        </w:rPr>
        <w:t>Artículo 10 ley 388 de 1997 numeral 4</w:t>
      </w:r>
    </w:p>
    <w:p w14:paraId="2884D668" w14:textId="037F5CF1" w:rsidR="00D22ABA" w:rsidRDefault="00D22ABA" w:rsidP="00D22ABA">
      <w:pPr>
        <w:spacing w:before="16" w:after="16"/>
        <w:rPr>
          <w:rFonts w:cs="Times New Roman"/>
        </w:rPr>
      </w:pPr>
      <w:r w:rsidRPr="00D22ABA">
        <w:rPr>
          <w:rFonts w:cs="Times New Roman"/>
        </w:rPr>
        <w:t>Planes integrales de desarrollo metropolitano, en cuanto se refieran a hechos metropolitanos, normas generales que establezcan los objetivos y criterios definidos por las áreas metropolitanas en los asuntos de ordenamiento del territorio municipal.</w:t>
      </w:r>
    </w:p>
    <w:p w14:paraId="45FF8FF9" w14:textId="1357096D" w:rsidR="00D22ABA" w:rsidRPr="00D22ABA" w:rsidRDefault="00D22ABA" w:rsidP="00024144">
      <w:pPr>
        <w:pStyle w:val="Prrafodelista"/>
        <w:numPr>
          <w:ilvl w:val="1"/>
          <w:numId w:val="31"/>
        </w:numPr>
        <w:spacing w:before="16" w:after="16"/>
        <w:jc w:val="left"/>
        <w:rPr>
          <w:rFonts w:cs="Times New Roman"/>
          <w:b/>
        </w:rPr>
      </w:pPr>
      <w:r w:rsidRPr="00D22ABA">
        <w:rPr>
          <w:rFonts w:cs="Times New Roman"/>
          <w:b/>
        </w:rPr>
        <w:t>Determinantes ambientales</w:t>
      </w:r>
    </w:p>
    <w:p w14:paraId="152A9D4E" w14:textId="77777777" w:rsidR="00D22ABA" w:rsidRPr="00D22ABA" w:rsidRDefault="00D22ABA" w:rsidP="00D22ABA">
      <w:pPr>
        <w:spacing w:before="16" w:after="16"/>
        <w:rPr>
          <w:rFonts w:cs="Times New Roman"/>
        </w:rPr>
      </w:pPr>
      <w:r w:rsidRPr="00D22ABA">
        <w:rPr>
          <w:rFonts w:cs="Times New Roman"/>
        </w:rPr>
        <w:lastRenderedPageBreak/>
        <w:t>Hacen parte de este grupo los términos y condiciones fijados por las autoridades ambientales para garantizar la sostenibilidad ambiental de los procesos de ordenamiento territorial y las determinantes de prevención de amenazas y riesgos.</w:t>
      </w:r>
    </w:p>
    <w:p w14:paraId="1EE18817" w14:textId="77777777" w:rsidR="00D22ABA" w:rsidRPr="00D22ABA" w:rsidRDefault="00D22ABA" w:rsidP="00D22ABA">
      <w:pPr>
        <w:spacing w:before="16" w:after="16"/>
        <w:rPr>
          <w:rFonts w:cs="Times New Roman"/>
          <w:b/>
          <w:bCs/>
        </w:rPr>
      </w:pPr>
      <w:r w:rsidRPr="00D22ABA">
        <w:rPr>
          <w:rFonts w:cs="Times New Roman"/>
          <w:b/>
          <w:bCs/>
        </w:rPr>
        <w:t>¿Para qué son las determinantes ambientales?</w:t>
      </w:r>
    </w:p>
    <w:p w14:paraId="4D2E8A29" w14:textId="77777777" w:rsidR="00D22ABA" w:rsidRPr="00D22ABA" w:rsidRDefault="00D22ABA" w:rsidP="00D22ABA">
      <w:pPr>
        <w:numPr>
          <w:ilvl w:val="0"/>
          <w:numId w:val="36"/>
        </w:numPr>
        <w:spacing w:before="16" w:after="16"/>
        <w:rPr>
          <w:rFonts w:cs="Times New Roman"/>
        </w:rPr>
      </w:pPr>
      <w:r w:rsidRPr="00D22ABA">
        <w:rPr>
          <w:rFonts w:cs="Times New Roman"/>
        </w:rPr>
        <w:t xml:space="preserve">Asegurar la </w:t>
      </w:r>
      <w:r w:rsidRPr="00D22ABA">
        <w:rPr>
          <w:rFonts w:cs="Times New Roman"/>
          <w:b/>
          <w:bCs/>
        </w:rPr>
        <w:t>sostenibilidad ambiental</w:t>
      </w:r>
      <w:r w:rsidRPr="00D22ABA">
        <w:rPr>
          <w:rFonts w:cs="Times New Roman"/>
        </w:rPr>
        <w:t xml:space="preserve"> y la resiliencia en los procesos de desarrollo territorial.</w:t>
      </w:r>
    </w:p>
    <w:p w14:paraId="0D771C64" w14:textId="77777777" w:rsidR="00D22ABA" w:rsidRPr="00D22ABA" w:rsidRDefault="00D22ABA" w:rsidP="00D22ABA">
      <w:pPr>
        <w:spacing w:before="16" w:after="16"/>
        <w:rPr>
          <w:rFonts w:cs="Times New Roman"/>
          <w:b/>
          <w:bCs/>
        </w:rPr>
      </w:pPr>
      <w:r w:rsidRPr="00D22ABA">
        <w:rPr>
          <w:rFonts w:cs="Times New Roman"/>
          <w:b/>
          <w:bCs/>
        </w:rPr>
        <w:t>¿Quiénes establecen las determinantes ambientales?</w:t>
      </w:r>
    </w:p>
    <w:p w14:paraId="2D88E579" w14:textId="3102DB12" w:rsidR="00D22ABA" w:rsidRPr="00D22ABA" w:rsidRDefault="00D22ABA" w:rsidP="00D22ABA">
      <w:pPr>
        <w:numPr>
          <w:ilvl w:val="0"/>
          <w:numId w:val="37"/>
        </w:numPr>
        <w:spacing w:before="16" w:after="16"/>
        <w:rPr>
          <w:rFonts w:cs="Times New Roman"/>
        </w:rPr>
      </w:pPr>
      <w:r w:rsidRPr="00D22ABA">
        <w:rPr>
          <w:rFonts w:cs="Times New Roman"/>
        </w:rPr>
        <w:t>Las autoridades ambientales definidas en la ley 99 de 1993 y el código de recursos naturales, como, por ejemplo:</w:t>
      </w:r>
    </w:p>
    <w:p w14:paraId="77D80ED2" w14:textId="77777777" w:rsidR="00D22ABA" w:rsidRPr="00D22ABA" w:rsidRDefault="00D22ABA" w:rsidP="00D22ABA">
      <w:pPr>
        <w:numPr>
          <w:ilvl w:val="1"/>
          <w:numId w:val="37"/>
        </w:numPr>
        <w:spacing w:before="16" w:after="16"/>
        <w:rPr>
          <w:rFonts w:cs="Times New Roman"/>
        </w:rPr>
      </w:pPr>
      <w:r w:rsidRPr="00D22ABA">
        <w:rPr>
          <w:rFonts w:cs="Times New Roman"/>
        </w:rPr>
        <w:t>Ministerio de Ambiente,</w:t>
      </w:r>
    </w:p>
    <w:p w14:paraId="36BD9383" w14:textId="77777777" w:rsidR="00D22ABA" w:rsidRPr="00D22ABA" w:rsidRDefault="00D22ABA" w:rsidP="00D22ABA">
      <w:pPr>
        <w:numPr>
          <w:ilvl w:val="1"/>
          <w:numId w:val="37"/>
        </w:numPr>
        <w:spacing w:before="16" w:after="16"/>
        <w:rPr>
          <w:rFonts w:cs="Times New Roman"/>
        </w:rPr>
      </w:pPr>
      <w:r w:rsidRPr="00D22ABA">
        <w:rPr>
          <w:rFonts w:cs="Times New Roman"/>
        </w:rPr>
        <w:t>Corporaciones Autónomas Regionales,</w:t>
      </w:r>
    </w:p>
    <w:p w14:paraId="21D0E0EF" w14:textId="77777777" w:rsidR="00D22ABA" w:rsidRPr="00D22ABA" w:rsidRDefault="00D22ABA" w:rsidP="00D22ABA">
      <w:pPr>
        <w:numPr>
          <w:ilvl w:val="1"/>
          <w:numId w:val="37"/>
        </w:numPr>
        <w:spacing w:before="16" w:after="16"/>
        <w:rPr>
          <w:rFonts w:cs="Times New Roman"/>
        </w:rPr>
      </w:pPr>
      <w:r w:rsidRPr="00D22ABA">
        <w:rPr>
          <w:rFonts w:cs="Times New Roman"/>
        </w:rPr>
        <w:t>Entre otros.</w:t>
      </w:r>
    </w:p>
    <w:p w14:paraId="6551EA38" w14:textId="77777777" w:rsidR="00D22ABA" w:rsidRPr="00D22ABA" w:rsidRDefault="00D22ABA" w:rsidP="00D22ABA">
      <w:pPr>
        <w:spacing w:before="16" w:after="16"/>
        <w:rPr>
          <w:rFonts w:cs="Times New Roman"/>
          <w:b/>
          <w:bCs/>
        </w:rPr>
      </w:pPr>
      <w:r w:rsidRPr="00D22ABA">
        <w:rPr>
          <w:rFonts w:cs="Times New Roman"/>
          <w:b/>
          <w:bCs/>
        </w:rPr>
        <w:t>¿Cuáles son las determinantes de prevención de amenazas y riesgos? (Literales a, b y c del art. 10 de la ley 388)</w:t>
      </w:r>
    </w:p>
    <w:p w14:paraId="1293456E" w14:textId="77777777" w:rsidR="00D22ABA" w:rsidRPr="00D22ABA" w:rsidRDefault="00D22ABA" w:rsidP="00D22ABA">
      <w:pPr>
        <w:numPr>
          <w:ilvl w:val="0"/>
          <w:numId w:val="38"/>
        </w:numPr>
        <w:spacing w:before="16" w:after="16"/>
        <w:rPr>
          <w:rFonts w:cs="Times New Roman"/>
        </w:rPr>
      </w:pPr>
      <w:r w:rsidRPr="00D22ABA">
        <w:rPr>
          <w:rFonts w:cs="Times New Roman"/>
        </w:rPr>
        <w:t>Son las políticas, directrices y regulaciones para su prevención, el señalamiento y localización de las áreas de riesgo para asentamientos humanos, así como las estrategias de manejo de zonas expuestas a amenazas y riesgos naturales.</w:t>
      </w:r>
    </w:p>
    <w:p w14:paraId="0D1145FC" w14:textId="6E0A8B35" w:rsidR="00D22ABA" w:rsidRPr="005A1DAB" w:rsidRDefault="005A1DAB" w:rsidP="005A1DAB">
      <w:pPr>
        <w:pStyle w:val="Prrafodelista"/>
        <w:numPr>
          <w:ilvl w:val="1"/>
          <w:numId w:val="31"/>
        </w:numPr>
        <w:spacing w:before="16" w:after="16"/>
        <w:rPr>
          <w:rFonts w:cs="Times New Roman"/>
          <w:b/>
          <w:lang w:val="es-ES"/>
        </w:rPr>
      </w:pPr>
      <w:r w:rsidRPr="005A1DAB">
        <w:rPr>
          <w:rFonts w:cs="Times New Roman"/>
          <w:b/>
        </w:rPr>
        <w:t>Determinantes de patrimonio del ordenamiento territorial</w:t>
      </w:r>
    </w:p>
    <w:p w14:paraId="35399A95" w14:textId="77777777" w:rsidR="005A1DAB" w:rsidRPr="005A1DAB" w:rsidRDefault="005A1DAB" w:rsidP="005A1DAB">
      <w:pPr>
        <w:spacing w:before="16" w:after="16"/>
        <w:rPr>
          <w:rFonts w:cs="Times New Roman"/>
        </w:rPr>
      </w:pPr>
      <w:r w:rsidRPr="005A1DAB">
        <w:rPr>
          <w:rFonts w:cs="Times New Roman"/>
        </w:rPr>
        <w:t>De acuerdo con el decreto único del sector cultura 1080 de 2015, son las normas orientadas a la preservación del patrimonio cultural en el ámbito nacional, departamental, distrital o municipal. Estas representan normas de superior jerarquía que deben integrarse en el POT.</w:t>
      </w:r>
    </w:p>
    <w:p w14:paraId="7DEC2908" w14:textId="274125F8" w:rsidR="005A1DAB" w:rsidRPr="005A1DAB" w:rsidRDefault="005A1DAB" w:rsidP="005A1DAB">
      <w:pPr>
        <w:pStyle w:val="Prrafodelista"/>
        <w:numPr>
          <w:ilvl w:val="0"/>
          <w:numId w:val="32"/>
        </w:numPr>
        <w:spacing w:before="16" w:after="16"/>
        <w:rPr>
          <w:rFonts w:cs="Times New Roman"/>
          <w:b/>
          <w:bCs/>
        </w:rPr>
      </w:pPr>
      <w:r w:rsidRPr="005A1DAB">
        <w:rPr>
          <w:rFonts w:cs="Times New Roman"/>
          <w:b/>
          <w:bCs/>
        </w:rPr>
        <w:t>¿Para qué son las determinantes de patrimonio?</w:t>
      </w:r>
    </w:p>
    <w:p w14:paraId="67EF0F1D" w14:textId="77777777" w:rsidR="005A1DAB" w:rsidRPr="005A1DAB" w:rsidRDefault="005A1DAB" w:rsidP="005A1DAB">
      <w:pPr>
        <w:spacing w:before="16" w:after="16"/>
        <w:rPr>
          <w:rFonts w:cs="Times New Roman"/>
        </w:rPr>
      </w:pPr>
      <w:r w:rsidRPr="005A1DAB">
        <w:rPr>
          <w:rFonts w:cs="Times New Roman"/>
        </w:rPr>
        <w:t>Estas buscan conservar y consolidar los patrimonios de la nación como un elemento clave del ordenamiento territorial. En el caso de bienes de interés cultural, arquitectónico o urbano, la autoridad encargada deberá formular un plan especial de manejo y protección (</w:t>
      </w:r>
      <w:proofErr w:type="spellStart"/>
      <w:r w:rsidRPr="005A1DAB">
        <w:rPr>
          <w:rFonts w:cs="Times New Roman"/>
        </w:rPr>
        <w:t>PEMP</w:t>
      </w:r>
      <w:proofErr w:type="spellEnd"/>
      <w:r w:rsidRPr="005A1DAB">
        <w:rPr>
          <w:rFonts w:cs="Times New Roman"/>
        </w:rPr>
        <w:t>) conforme a lo establecido en el decreto 2358 de 2019.</w:t>
      </w:r>
    </w:p>
    <w:p w14:paraId="5923CB70" w14:textId="56E63CD1" w:rsidR="005A1DAB" w:rsidRPr="005A1DAB" w:rsidRDefault="005A1DAB" w:rsidP="005A1DAB">
      <w:pPr>
        <w:pStyle w:val="Prrafodelista"/>
        <w:numPr>
          <w:ilvl w:val="0"/>
          <w:numId w:val="32"/>
        </w:numPr>
        <w:spacing w:before="16" w:after="16"/>
        <w:rPr>
          <w:rFonts w:cs="Times New Roman"/>
          <w:b/>
          <w:bCs/>
        </w:rPr>
      </w:pPr>
      <w:r w:rsidRPr="005A1DAB">
        <w:rPr>
          <w:rFonts w:cs="Times New Roman"/>
          <w:b/>
          <w:bCs/>
        </w:rPr>
        <w:t>¿Quién ejerce el control sobre las determinantes de patrimonio?</w:t>
      </w:r>
    </w:p>
    <w:p w14:paraId="4D4063D9" w14:textId="77777777" w:rsidR="005A1DAB" w:rsidRPr="005A1DAB" w:rsidRDefault="005A1DAB" w:rsidP="005A1DAB">
      <w:pPr>
        <w:spacing w:before="16" w:after="16"/>
        <w:rPr>
          <w:rFonts w:cs="Times New Roman"/>
        </w:rPr>
      </w:pPr>
      <w:r w:rsidRPr="005A1DAB">
        <w:rPr>
          <w:rFonts w:cs="Times New Roman"/>
        </w:rPr>
        <w:lastRenderedPageBreak/>
        <w:t>La incorporación o exclusión del patrimonio en el ordenamiento territorial es gestionada por el Ministerio de Cultura para bienes de carácter nacional, y por los consejos departamentales, distritales o municipales de patrimonio o secretarías de cultura para los bienes de su jurisdicción.</w:t>
      </w:r>
    </w:p>
    <w:p w14:paraId="5D48D730" w14:textId="03C1320D" w:rsidR="005A1DAB" w:rsidRPr="00D234D8" w:rsidRDefault="00D234D8" w:rsidP="00D234D8">
      <w:pPr>
        <w:pStyle w:val="Prrafodelista"/>
        <w:numPr>
          <w:ilvl w:val="1"/>
          <w:numId w:val="31"/>
        </w:numPr>
        <w:spacing w:before="16" w:after="16"/>
        <w:rPr>
          <w:rFonts w:cs="Times New Roman"/>
          <w:b/>
          <w:lang w:val="es-ES"/>
        </w:rPr>
      </w:pPr>
      <w:r w:rsidRPr="00D234D8">
        <w:rPr>
          <w:rFonts w:cs="Times New Roman"/>
          <w:b/>
          <w:lang w:val="es-ES"/>
        </w:rPr>
        <w:t>Determinantes de hechos metropolitanos en el ordenamiento territorial</w:t>
      </w:r>
    </w:p>
    <w:p w14:paraId="2890B62C" w14:textId="77777777" w:rsidR="00D234D8" w:rsidRPr="00D234D8" w:rsidRDefault="00D234D8" w:rsidP="00D234D8">
      <w:pPr>
        <w:spacing w:before="16" w:after="16"/>
        <w:rPr>
          <w:rFonts w:cs="Times New Roman"/>
          <w:lang w:val="es-ES"/>
        </w:rPr>
      </w:pPr>
      <w:r w:rsidRPr="00D234D8">
        <w:rPr>
          <w:rFonts w:cs="Times New Roman"/>
          <w:lang w:val="es-ES"/>
        </w:rPr>
        <w:t>Se consideran hechos metropolitanos aquellos fenómenos económicos, sociales, tecnológicos, ambientales, físicos, culturales, territoriales, políticos o administrativos que afecten o impacten simultáneamente a dos o más municipios que conforman el área metropolitana.</w:t>
      </w:r>
    </w:p>
    <w:p w14:paraId="52A98795" w14:textId="77777777" w:rsidR="00D234D8" w:rsidRPr="00D234D8" w:rsidRDefault="00D234D8" w:rsidP="00D234D8">
      <w:pPr>
        <w:spacing w:before="16" w:after="16"/>
        <w:rPr>
          <w:rFonts w:cs="Times New Roman"/>
          <w:b/>
          <w:bCs/>
          <w:lang w:val="es-ES"/>
        </w:rPr>
      </w:pPr>
      <w:r w:rsidRPr="00D234D8">
        <w:rPr>
          <w:rFonts w:cs="Times New Roman"/>
          <w:b/>
          <w:bCs/>
          <w:lang w:val="es-ES"/>
        </w:rPr>
        <w:t>¿Qué establecen las determinantes de hechos metropolitanos?</w:t>
      </w:r>
    </w:p>
    <w:p w14:paraId="2BEC07F8" w14:textId="15A73CB8" w:rsidR="00D234D8" w:rsidRDefault="00D234D8" w:rsidP="008B0E9E">
      <w:pPr>
        <w:spacing w:before="16" w:after="16"/>
        <w:rPr>
          <w:rFonts w:cs="Times New Roman"/>
        </w:rPr>
      </w:pPr>
      <w:r w:rsidRPr="00D234D8">
        <w:rPr>
          <w:rFonts w:cs="Times New Roman"/>
          <w:lang w:val="es-ES"/>
        </w:rPr>
        <w:t xml:space="preserve">Las normas generales adoptadas por los instrumentos de las áreas metropolitanas que definen los objetivos y criterios para los asuntos de ordenamiento del territorio </w:t>
      </w:r>
      <w:r w:rsidRPr="0021146B">
        <w:rPr>
          <w:rFonts w:cs="Times New Roman"/>
        </w:rPr>
        <w:t>municipal. Estas normas deben ser incorporadas obligatoriamente en los POT.</w:t>
      </w:r>
    </w:p>
    <w:p w14:paraId="4BD11D09" w14:textId="3053B2F8" w:rsidR="00024144" w:rsidRDefault="00024144" w:rsidP="008B0E9E">
      <w:pPr>
        <w:spacing w:before="16" w:after="16"/>
        <w:rPr>
          <w:rFonts w:cs="Times New Roman"/>
        </w:rPr>
      </w:pPr>
    </w:p>
    <w:p w14:paraId="16059FA0" w14:textId="70C97432" w:rsidR="00024144" w:rsidRDefault="00024144" w:rsidP="008B0E9E">
      <w:pPr>
        <w:spacing w:before="16" w:after="16"/>
        <w:rPr>
          <w:rFonts w:cs="Times New Roman"/>
        </w:rPr>
      </w:pPr>
    </w:p>
    <w:p w14:paraId="7B7B8F68" w14:textId="4E3982B0" w:rsidR="00024144" w:rsidRDefault="00024144" w:rsidP="008B0E9E">
      <w:pPr>
        <w:spacing w:before="16" w:after="16"/>
        <w:rPr>
          <w:rFonts w:cs="Times New Roman"/>
        </w:rPr>
      </w:pPr>
    </w:p>
    <w:p w14:paraId="0F578829" w14:textId="2C0F47CA" w:rsidR="00024144" w:rsidRDefault="00024144" w:rsidP="008B0E9E">
      <w:pPr>
        <w:spacing w:before="16" w:after="16"/>
        <w:rPr>
          <w:rFonts w:cs="Times New Roman"/>
        </w:rPr>
      </w:pPr>
    </w:p>
    <w:p w14:paraId="6141E161" w14:textId="481D43B2" w:rsidR="00024144" w:rsidRDefault="00024144" w:rsidP="008B0E9E">
      <w:pPr>
        <w:spacing w:before="16" w:after="16"/>
        <w:rPr>
          <w:rFonts w:cs="Times New Roman"/>
        </w:rPr>
      </w:pPr>
    </w:p>
    <w:p w14:paraId="25BADBB5" w14:textId="0C8B72A4" w:rsidR="00024144" w:rsidRDefault="00024144" w:rsidP="008B0E9E">
      <w:pPr>
        <w:spacing w:before="16" w:after="16"/>
        <w:rPr>
          <w:rFonts w:cs="Times New Roman"/>
        </w:rPr>
      </w:pPr>
    </w:p>
    <w:p w14:paraId="5CB9C6C8" w14:textId="5E0BD240" w:rsidR="00024144" w:rsidRDefault="00024144" w:rsidP="008B0E9E">
      <w:pPr>
        <w:spacing w:before="16" w:after="16"/>
        <w:rPr>
          <w:rFonts w:cs="Times New Roman"/>
        </w:rPr>
      </w:pPr>
    </w:p>
    <w:p w14:paraId="068DDB2A" w14:textId="0B1D7BAE" w:rsidR="00024144" w:rsidRDefault="00024144" w:rsidP="008B0E9E">
      <w:pPr>
        <w:spacing w:before="16" w:after="16"/>
        <w:rPr>
          <w:rFonts w:cs="Times New Roman"/>
        </w:rPr>
      </w:pPr>
    </w:p>
    <w:p w14:paraId="051E7624" w14:textId="7CA6F1D4" w:rsidR="00024144" w:rsidRDefault="00024144" w:rsidP="008B0E9E">
      <w:pPr>
        <w:spacing w:before="16" w:after="16"/>
        <w:rPr>
          <w:rFonts w:cs="Times New Roman"/>
        </w:rPr>
      </w:pPr>
    </w:p>
    <w:p w14:paraId="2B985F68" w14:textId="0F90E955" w:rsidR="00024144" w:rsidRDefault="00024144" w:rsidP="008B0E9E">
      <w:pPr>
        <w:spacing w:before="16" w:after="16"/>
        <w:rPr>
          <w:rFonts w:cs="Times New Roman"/>
        </w:rPr>
      </w:pPr>
    </w:p>
    <w:p w14:paraId="45541F78" w14:textId="47482445" w:rsidR="00024144" w:rsidRDefault="00024144" w:rsidP="008B0E9E">
      <w:pPr>
        <w:spacing w:before="16" w:after="16"/>
        <w:rPr>
          <w:rFonts w:cs="Times New Roman"/>
        </w:rPr>
      </w:pPr>
    </w:p>
    <w:p w14:paraId="35A45790" w14:textId="7CC009BF" w:rsidR="00024144" w:rsidRDefault="00024144" w:rsidP="008B0E9E">
      <w:pPr>
        <w:spacing w:before="16" w:after="16"/>
        <w:rPr>
          <w:rFonts w:cs="Times New Roman"/>
        </w:rPr>
      </w:pPr>
    </w:p>
    <w:p w14:paraId="6E42EDCD" w14:textId="18A9D6C6" w:rsidR="00024144" w:rsidRDefault="00024144" w:rsidP="008B0E9E">
      <w:pPr>
        <w:spacing w:before="16" w:after="16"/>
        <w:rPr>
          <w:rFonts w:cs="Times New Roman"/>
        </w:rPr>
      </w:pPr>
    </w:p>
    <w:p w14:paraId="46A122CD" w14:textId="2EC0E725" w:rsidR="00024144" w:rsidRDefault="00024144" w:rsidP="008B0E9E">
      <w:pPr>
        <w:spacing w:before="16" w:after="16"/>
        <w:rPr>
          <w:rFonts w:cs="Times New Roman"/>
        </w:rPr>
      </w:pPr>
    </w:p>
    <w:p w14:paraId="397033A9" w14:textId="207A9D3C" w:rsidR="00024144" w:rsidRDefault="00024144" w:rsidP="008B0E9E">
      <w:pPr>
        <w:spacing w:before="16" w:after="16"/>
        <w:rPr>
          <w:rFonts w:cs="Times New Roman"/>
        </w:rPr>
      </w:pPr>
    </w:p>
    <w:p w14:paraId="1AEEBB2D" w14:textId="538F5F8C" w:rsidR="00024144" w:rsidRDefault="00024144" w:rsidP="008B0E9E">
      <w:pPr>
        <w:spacing w:before="16" w:after="16"/>
        <w:rPr>
          <w:rFonts w:cs="Times New Roman"/>
        </w:rPr>
      </w:pPr>
    </w:p>
    <w:p w14:paraId="3E517286" w14:textId="77777777" w:rsidR="00024144" w:rsidRDefault="00024144" w:rsidP="008B0E9E">
      <w:pPr>
        <w:spacing w:before="16" w:after="16"/>
        <w:rPr>
          <w:rFonts w:cs="Times New Roman"/>
        </w:rPr>
      </w:pPr>
    </w:p>
    <w:p w14:paraId="6593B987" w14:textId="6F415EC9" w:rsidR="00024144" w:rsidRDefault="00024144" w:rsidP="008B0E9E">
      <w:pPr>
        <w:spacing w:before="16" w:after="16"/>
        <w:rPr>
          <w:rFonts w:cs="Times New Roman"/>
        </w:rPr>
      </w:pPr>
    </w:p>
    <w:p w14:paraId="39DE30B1" w14:textId="71B1BCF7" w:rsidR="00024144" w:rsidRPr="00024144" w:rsidRDefault="00024144" w:rsidP="00024144">
      <w:pPr>
        <w:pStyle w:val="Prrafodelista"/>
        <w:numPr>
          <w:ilvl w:val="0"/>
          <w:numId w:val="31"/>
        </w:numPr>
        <w:spacing w:before="16" w:after="16"/>
        <w:jc w:val="center"/>
        <w:rPr>
          <w:rFonts w:cs="Times New Roman"/>
          <w:b/>
        </w:rPr>
      </w:pPr>
      <w:r w:rsidRPr="00024144">
        <w:rPr>
          <w:rFonts w:cs="Times New Roman"/>
          <w:b/>
        </w:rPr>
        <w:lastRenderedPageBreak/>
        <w:t>Marco Normativo</w:t>
      </w:r>
    </w:p>
    <w:p w14:paraId="3AF93942" w14:textId="33E30942" w:rsidR="00024144" w:rsidRPr="00024144" w:rsidRDefault="00024144" w:rsidP="00024144">
      <w:pPr>
        <w:spacing w:before="16" w:after="16"/>
        <w:rPr>
          <w:rFonts w:cs="Times New Roman"/>
          <w:lang w:val="es-MX"/>
        </w:rPr>
      </w:pPr>
      <w:r w:rsidRPr="00024144">
        <w:rPr>
          <w:rFonts w:cs="Times New Roman"/>
          <w:lang w:val="es-MX"/>
        </w:rPr>
        <w:t xml:space="preserve">La determinación legal del Ordenamiento Territorial del Departamento está dada desde la Constitución Política de Colombia, la Ley Orgánica de Ordenamiento Territorial y demás leyes ordinarias y decretos que reglamentan desde la destinación de los suelos protegidos y reservas en las regiones, pasando por la concepción del espacio público en el territorio hasta la gestión del riesgo en cada municipio, preceptos contenidos en el Plan Nacional de Desarrollo 2022 – 2026 “Colombia potencia mundial de la vida” en el pacto por la descentralización: conectar territorios, gobiernos y poblaciones, y el Plan Departamental de Desarrollo 2024-2027 “Nariño, Región país para el mundo” </w:t>
      </w:r>
    </w:p>
    <w:p w14:paraId="06165B71" w14:textId="77777777" w:rsidR="00024144" w:rsidRPr="00024144" w:rsidRDefault="00024144" w:rsidP="00024144">
      <w:pPr>
        <w:spacing w:before="16" w:after="16"/>
        <w:rPr>
          <w:rFonts w:cs="Times New Roman"/>
          <w:lang w:val="es-MX"/>
        </w:rPr>
      </w:pPr>
      <w:r w:rsidRPr="00024144">
        <w:rPr>
          <w:rFonts w:cs="Times New Roman"/>
          <w:lang w:val="es-MX"/>
        </w:rPr>
        <w:t xml:space="preserve">Síntesis marco normativo </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21"/>
        <w:gridCol w:w="7017"/>
      </w:tblGrid>
      <w:tr w:rsidR="00024144" w:rsidRPr="00024144" w14:paraId="6792026B" w14:textId="77777777" w:rsidTr="00BC7705">
        <w:trPr>
          <w:trHeight w:val="315"/>
          <w:tblHeader/>
          <w:jc w:val="center"/>
        </w:trPr>
        <w:tc>
          <w:tcPr>
            <w:tcW w:w="1821" w:type="dxa"/>
            <w:shd w:val="clear" w:color="auto" w:fill="auto"/>
            <w:noWrap/>
            <w:vAlign w:val="center"/>
            <w:hideMark/>
          </w:tcPr>
          <w:p w14:paraId="22BEB5F3" w14:textId="77777777" w:rsidR="00024144" w:rsidRPr="00024144" w:rsidRDefault="00024144" w:rsidP="00024144">
            <w:pPr>
              <w:spacing w:before="16" w:after="16"/>
              <w:rPr>
                <w:rFonts w:cs="Times New Roman"/>
                <w:b/>
                <w:bCs/>
              </w:rPr>
            </w:pPr>
            <w:r w:rsidRPr="00024144">
              <w:rPr>
                <w:rFonts w:cs="Times New Roman"/>
                <w:b/>
                <w:bCs/>
              </w:rPr>
              <w:t>Norma</w:t>
            </w:r>
          </w:p>
        </w:tc>
        <w:tc>
          <w:tcPr>
            <w:tcW w:w="0" w:type="auto"/>
            <w:shd w:val="clear" w:color="auto" w:fill="auto"/>
            <w:noWrap/>
            <w:vAlign w:val="center"/>
            <w:hideMark/>
          </w:tcPr>
          <w:p w14:paraId="0956F217" w14:textId="77777777" w:rsidR="00024144" w:rsidRPr="00024144" w:rsidRDefault="00024144" w:rsidP="00024144">
            <w:pPr>
              <w:spacing w:before="16" w:after="16"/>
              <w:rPr>
                <w:rFonts w:cs="Times New Roman"/>
                <w:b/>
                <w:bCs/>
              </w:rPr>
            </w:pPr>
            <w:r w:rsidRPr="00024144">
              <w:rPr>
                <w:rFonts w:cs="Times New Roman"/>
                <w:b/>
                <w:bCs/>
              </w:rPr>
              <w:t xml:space="preserve">Descripción </w:t>
            </w:r>
          </w:p>
        </w:tc>
      </w:tr>
      <w:tr w:rsidR="00024144" w:rsidRPr="00024144" w14:paraId="3298DE77" w14:textId="77777777" w:rsidTr="00BC7705">
        <w:trPr>
          <w:trHeight w:val="715"/>
          <w:jc w:val="center"/>
        </w:trPr>
        <w:tc>
          <w:tcPr>
            <w:tcW w:w="1821" w:type="dxa"/>
            <w:shd w:val="clear" w:color="auto" w:fill="auto"/>
            <w:noWrap/>
            <w:vAlign w:val="center"/>
            <w:hideMark/>
          </w:tcPr>
          <w:p w14:paraId="6773A733" w14:textId="77777777" w:rsidR="00024144" w:rsidRPr="00024144" w:rsidRDefault="00024144" w:rsidP="00024144">
            <w:pPr>
              <w:spacing w:before="16" w:after="16"/>
              <w:rPr>
                <w:rFonts w:cs="Times New Roman"/>
              </w:rPr>
            </w:pPr>
            <w:r w:rsidRPr="00024144">
              <w:rPr>
                <w:rFonts w:cs="Times New Roman"/>
              </w:rPr>
              <w:t>Ley 388 de 1997</w:t>
            </w:r>
          </w:p>
        </w:tc>
        <w:tc>
          <w:tcPr>
            <w:tcW w:w="0" w:type="auto"/>
            <w:shd w:val="clear" w:color="auto" w:fill="auto"/>
            <w:hideMark/>
          </w:tcPr>
          <w:p w14:paraId="5AE231AF" w14:textId="77777777" w:rsidR="00024144" w:rsidRPr="00024144" w:rsidRDefault="00024144" w:rsidP="00024144">
            <w:pPr>
              <w:spacing w:before="16" w:after="16"/>
              <w:rPr>
                <w:rFonts w:cs="Times New Roman"/>
              </w:rPr>
            </w:pPr>
            <w:r w:rsidRPr="00024144">
              <w:rPr>
                <w:rFonts w:cs="Times New Roman"/>
              </w:rPr>
              <w:t xml:space="preserve">Ley de desarrollo territorial: Define el </w:t>
            </w:r>
            <w:proofErr w:type="spellStart"/>
            <w:r w:rsidRPr="00024144">
              <w:rPr>
                <w:rFonts w:cs="Times New Roman"/>
              </w:rPr>
              <w:t>O.T</w:t>
            </w:r>
            <w:proofErr w:type="spellEnd"/>
            <w:r w:rsidRPr="00024144">
              <w:rPr>
                <w:rFonts w:cs="Times New Roman"/>
              </w:rPr>
              <w:t xml:space="preserve"> como el conjunto de acciones político administrativas de planificación física concertadas </w:t>
            </w:r>
          </w:p>
        </w:tc>
      </w:tr>
      <w:tr w:rsidR="00024144" w:rsidRPr="00024144" w14:paraId="5C1A4866" w14:textId="77777777" w:rsidTr="00BC7705">
        <w:trPr>
          <w:trHeight w:val="272"/>
          <w:jc w:val="center"/>
        </w:trPr>
        <w:tc>
          <w:tcPr>
            <w:tcW w:w="1821" w:type="dxa"/>
            <w:shd w:val="clear" w:color="auto" w:fill="auto"/>
            <w:vAlign w:val="bottom"/>
            <w:hideMark/>
          </w:tcPr>
          <w:p w14:paraId="2D9B578B" w14:textId="77777777" w:rsidR="00024144" w:rsidRPr="00024144" w:rsidRDefault="00024144" w:rsidP="00024144">
            <w:pPr>
              <w:spacing w:before="16" w:after="16"/>
              <w:rPr>
                <w:rFonts w:cs="Times New Roman"/>
              </w:rPr>
            </w:pPr>
            <w:r w:rsidRPr="00024144">
              <w:rPr>
                <w:rFonts w:cs="Times New Roman"/>
              </w:rPr>
              <w:t>Decreto 879 de 1998</w:t>
            </w:r>
          </w:p>
        </w:tc>
        <w:tc>
          <w:tcPr>
            <w:tcW w:w="0" w:type="auto"/>
            <w:shd w:val="clear" w:color="auto" w:fill="auto"/>
            <w:hideMark/>
          </w:tcPr>
          <w:p w14:paraId="3B7A40F2" w14:textId="77777777" w:rsidR="00024144" w:rsidRPr="00024144" w:rsidRDefault="00024144" w:rsidP="00024144">
            <w:pPr>
              <w:spacing w:before="16" w:after="16"/>
              <w:rPr>
                <w:rFonts w:cs="Times New Roman"/>
              </w:rPr>
            </w:pPr>
            <w:r w:rsidRPr="00024144">
              <w:rPr>
                <w:rFonts w:cs="Times New Roman"/>
              </w:rPr>
              <w:t>Ordenamiento del territorio y los planes de ordenamiento territorial</w:t>
            </w:r>
          </w:p>
        </w:tc>
      </w:tr>
      <w:tr w:rsidR="00024144" w:rsidRPr="00024144" w14:paraId="620D8E94" w14:textId="77777777" w:rsidTr="00BC7705">
        <w:trPr>
          <w:trHeight w:val="275"/>
          <w:jc w:val="center"/>
        </w:trPr>
        <w:tc>
          <w:tcPr>
            <w:tcW w:w="1821" w:type="dxa"/>
            <w:shd w:val="clear" w:color="auto" w:fill="auto"/>
            <w:vAlign w:val="center"/>
            <w:hideMark/>
          </w:tcPr>
          <w:p w14:paraId="77584BA4" w14:textId="77777777" w:rsidR="00024144" w:rsidRPr="00024144" w:rsidRDefault="00024144" w:rsidP="00024144">
            <w:pPr>
              <w:spacing w:before="16" w:after="16"/>
              <w:rPr>
                <w:rFonts w:cs="Times New Roman"/>
              </w:rPr>
            </w:pPr>
            <w:r w:rsidRPr="00024144">
              <w:rPr>
                <w:rFonts w:cs="Times New Roman"/>
              </w:rPr>
              <w:t>Decreto 4002 de 2004</w:t>
            </w:r>
          </w:p>
        </w:tc>
        <w:tc>
          <w:tcPr>
            <w:tcW w:w="0" w:type="auto"/>
            <w:shd w:val="clear" w:color="auto" w:fill="auto"/>
            <w:hideMark/>
          </w:tcPr>
          <w:p w14:paraId="115AC393" w14:textId="77777777" w:rsidR="00024144" w:rsidRPr="00024144" w:rsidRDefault="00024144" w:rsidP="00024144">
            <w:pPr>
              <w:spacing w:before="16" w:after="16"/>
              <w:rPr>
                <w:rFonts w:cs="Times New Roman"/>
              </w:rPr>
            </w:pPr>
            <w:r w:rsidRPr="00024144">
              <w:rPr>
                <w:rFonts w:cs="Times New Roman"/>
              </w:rPr>
              <w:t>Revisión y modificación de los planes de ordenamiento territorial POT</w:t>
            </w:r>
          </w:p>
        </w:tc>
      </w:tr>
      <w:tr w:rsidR="00024144" w:rsidRPr="00024144" w14:paraId="11BE1413" w14:textId="77777777" w:rsidTr="00BC7705">
        <w:trPr>
          <w:trHeight w:val="705"/>
          <w:jc w:val="center"/>
        </w:trPr>
        <w:tc>
          <w:tcPr>
            <w:tcW w:w="1821" w:type="dxa"/>
            <w:shd w:val="clear" w:color="auto" w:fill="auto"/>
            <w:vAlign w:val="center"/>
            <w:hideMark/>
          </w:tcPr>
          <w:p w14:paraId="3D23BC1A" w14:textId="77777777" w:rsidR="00024144" w:rsidRPr="00024144" w:rsidRDefault="00024144" w:rsidP="00024144">
            <w:pPr>
              <w:spacing w:before="16" w:after="16"/>
              <w:rPr>
                <w:rFonts w:cs="Times New Roman"/>
              </w:rPr>
            </w:pPr>
            <w:r w:rsidRPr="00024144">
              <w:rPr>
                <w:rFonts w:cs="Times New Roman"/>
              </w:rPr>
              <w:t>Decreto 3600 y decreto modificatorio 4066</w:t>
            </w:r>
          </w:p>
        </w:tc>
        <w:tc>
          <w:tcPr>
            <w:tcW w:w="0" w:type="auto"/>
            <w:shd w:val="clear" w:color="auto" w:fill="auto"/>
            <w:hideMark/>
          </w:tcPr>
          <w:p w14:paraId="1EF40059" w14:textId="77777777" w:rsidR="00024144" w:rsidRPr="00024144" w:rsidRDefault="00024144" w:rsidP="00024144">
            <w:pPr>
              <w:spacing w:before="16" w:after="16"/>
              <w:rPr>
                <w:rFonts w:cs="Times New Roman"/>
              </w:rPr>
            </w:pPr>
            <w:r w:rsidRPr="00024144">
              <w:rPr>
                <w:rFonts w:cs="Times New Roman"/>
              </w:rPr>
              <w:t>Ordenamiento del suelo rural y desarrollo de actuaciones urbanísticas de parcelación. Reglamenta</w:t>
            </w:r>
          </w:p>
        </w:tc>
      </w:tr>
      <w:tr w:rsidR="00024144" w:rsidRPr="00024144" w14:paraId="3401106C" w14:textId="77777777" w:rsidTr="00BC7705">
        <w:trPr>
          <w:trHeight w:val="291"/>
          <w:jc w:val="center"/>
        </w:trPr>
        <w:tc>
          <w:tcPr>
            <w:tcW w:w="1821" w:type="dxa"/>
            <w:shd w:val="clear" w:color="auto" w:fill="auto"/>
            <w:vAlign w:val="center"/>
            <w:hideMark/>
          </w:tcPr>
          <w:p w14:paraId="4414EA27" w14:textId="77777777" w:rsidR="00024144" w:rsidRPr="00024144" w:rsidRDefault="00024144" w:rsidP="00024144">
            <w:pPr>
              <w:spacing w:before="16" w:after="16"/>
              <w:rPr>
                <w:rFonts w:cs="Times New Roman"/>
              </w:rPr>
            </w:pPr>
            <w:r w:rsidRPr="00024144">
              <w:rPr>
                <w:rFonts w:cs="Times New Roman"/>
              </w:rPr>
              <w:t>Ley 1454 de 2011</w:t>
            </w:r>
          </w:p>
        </w:tc>
        <w:tc>
          <w:tcPr>
            <w:tcW w:w="0" w:type="auto"/>
            <w:shd w:val="clear" w:color="auto" w:fill="auto"/>
            <w:hideMark/>
          </w:tcPr>
          <w:p w14:paraId="7167BE6B" w14:textId="77777777" w:rsidR="00024144" w:rsidRPr="00024144" w:rsidRDefault="00024144" w:rsidP="00024144">
            <w:pPr>
              <w:spacing w:before="16" w:after="16"/>
              <w:rPr>
                <w:rFonts w:cs="Times New Roman"/>
              </w:rPr>
            </w:pPr>
            <w:r w:rsidRPr="00024144">
              <w:rPr>
                <w:rFonts w:cs="Times New Roman"/>
              </w:rPr>
              <w:t xml:space="preserve">Por la cual se dictan normas orgánicas sobre ordenamiento territorial </w:t>
            </w:r>
          </w:p>
        </w:tc>
      </w:tr>
      <w:tr w:rsidR="00024144" w:rsidRPr="00024144" w14:paraId="28466C83" w14:textId="77777777" w:rsidTr="00BC7705">
        <w:trPr>
          <w:trHeight w:val="552"/>
          <w:jc w:val="center"/>
        </w:trPr>
        <w:tc>
          <w:tcPr>
            <w:tcW w:w="1821" w:type="dxa"/>
            <w:shd w:val="clear" w:color="auto" w:fill="auto"/>
            <w:noWrap/>
            <w:vAlign w:val="center"/>
            <w:hideMark/>
          </w:tcPr>
          <w:p w14:paraId="27DFDB53" w14:textId="77777777" w:rsidR="00024144" w:rsidRPr="00024144" w:rsidRDefault="00024144" w:rsidP="00024144">
            <w:pPr>
              <w:spacing w:before="16" w:after="16"/>
              <w:rPr>
                <w:rFonts w:cs="Times New Roman"/>
              </w:rPr>
            </w:pPr>
            <w:r w:rsidRPr="00024144">
              <w:rPr>
                <w:rFonts w:cs="Times New Roman"/>
              </w:rPr>
              <w:t>Ley 1551 de 2012</w:t>
            </w:r>
          </w:p>
        </w:tc>
        <w:tc>
          <w:tcPr>
            <w:tcW w:w="0" w:type="auto"/>
            <w:shd w:val="clear" w:color="auto" w:fill="auto"/>
            <w:hideMark/>
          </w:tcPr>
          <w:p w14:paraId="51EDBBB2" w14:textId="77777777" w:rsidR="00024144" w:rsidRPr="00024144" w:rsidRDefault="00024144" w:rsidP="00024144">
            <w:pPr>
              <w:spacing w:before="16" w:after="16"/>
              <w:rPr>
                <w:rFonts w:cs="Times New Roman"/>
              </w:rPr>
            </w:pPr>
            <w:r w:rsidRPr="00024144">
              <w:rPr>
                <w:rFonts w:cs="Times New Roman"/>
              </w:rPr>
              <w:t>Dicta normas para modernizar y organizar el funcionamiento de los municipios.</w:t>
            </w:r>
          </w:p>
        </w:tc>
      </w:tr>
      <w:tr w:rsidR="00024144" w:rsidRPr="00024144" w14:paraId="04E7B6CB" w14:textId="77777777" w:rsidTr="00BC7705">
        <w:trPr>
          <w:trHeight w:val="546"/>
          <w:jc w:val="center"/>
        </w:trPr>
        <w:tc>
          <w:tcPr>
            <w:tcW w:w="1821" w:type="dxa"/>
            <w:shd w:val="clear" w:color="auto" w:fill="auto"/>
            <w:vAlign w:val="center"/>
            <w:hideMark/>
          </w:tcPr>
          <w:p w14:paraId="30BDB70E" w14:textId="77777777" w:rsidR="00024144" w:rsidRPr="00024144" w:rsidRDefault="00024144" w:rsidP="00024144">
            <w:pPr>
              <w:spacing w:before="16" w:after="16"/>
              <w:rPr>
                <w:rFonts w:cs="Times New Roman"/>
              </w:rPr>
            </w:pPr>
            <w:r w:rsidRPr="00024144">
              <w:rPr>
                <w:rFonts w:cs="Times New Roman"/>
              </w:rPr>
              <w:t>Decreto 1807 de 2014</w:t>
            </w:r>
          </w:p>
        </w:tc>
        <w:tc>
          <w:tcPr>
            <w:tcW w:w="0" w:type="auto"/>
            <w:shd w:val="clear" w:color="auto" w:fill="auto"/>
            <w:hideMark/>
          </w:tcPr>
          <w:p w14:paraId="79246947" w14:textId="77777777" w:rsidR="00024144" w:rsidRPr="00024144" w:rsidRDefault="00024144" w:rsidP="00024144">
            <w:pPr>
              <w:spacing w:before="16" w:after="16"/>
              <w:rPr>
                <w:rFonts w:cs="Times New Roman"/>
              </w:rPr>
            </w:pPr>
            <w:r w:rsidRPr="00024144">
              <w:rPr>
                <w:rFonts w:cs="Times New Roman"/>
              </w:rPr>
              <w:t>Reglamenta el artículo 189 del Decreto ley 019 de 2012 en lo relativo a la incorporación de la gestión del riesgo en los POT</w:t>
            </w:r>
          </w:p>
        </w:tc>
      </w:tr>
      <w:tr w:rsidR="00024144" w:rsidRPr="00024144" w14:paraId="00783F50" w14:textId="77777777" w:rsidTr="00BC7705">
        <w:trPr>
          <w:trHeight w:val="567"/>
          <w:jc w:val="center"/>
        </w:trPr>
        <w:tc>
          <w:tcPr>
            <w:tcW w:w="1821" w:type="dxa"/>
            <w:shd w:val="clear" w:color="auto" w:fill="auto"/>
            <w:vAlign w:val="center"/>
            <w:hideMark/>
          </w:tcPr>
          <w:p w14:paraId="485C2FBC" w14:textId="77777777" w:rsidR="00024144" w:rsidRPr="00024144" w:rsidRDefault="00024144" w:rsidP="00024144">
            <w:pPr>
              <w:spacing w:before="16" w:after="16"/>
              <w:rPr>
                <w:rFonts w:cs="Times New Roman"/>
              </w:rPr>
            </w:pPr>
            <w:r w:rsidRPr="00024144">
              <w:rPr>
                <w:rFonts w:cs="Times New Roman"/>
              </w:rPr>
              <w:lastRenderedPageBreak/>
              <w:t>Decreto 1077 de 2015</w:t>
            </w:r>
          </w:p>
        </w:tc>
        <w:tc>
          <w:tcPr>
            <w:tcW w:w="0" w:type="auto"/>
            <w:shd w:val="clear" w:color="auto" w:fill="auto"/>
            <w:hideMark/>
          </w:tcPr>
          <w:p w14:paraId="13A01CA9" w14:textId="77777777" w:rsidR="00024144" w:rsidRPr="00024144" w:rsidRDefault="00024144" w:rsidP="00024144">
            <w:pPr>
              <w:spacing w:before="16" w:after="16"/>
              <w:rPr>
                <w:rFonts w:cs="Times New Roman"/>
              </w:rPr>
            </w:pPr>
            <w:r w:rsidRPr="00024144">
              <w:rPr>
                <w:rFonts w:cs="Times New Roman"/>
              </w:rPr>
              <w:t xml:space="preserve">Decreto único reglamentario del sector Vivienda, Ciudad y Territorio. Compila las normas de carácter reglamentario que rigen el sector </w:t>
            </w:r>
          </w:p>
        </w:tc>
      </w:tr>
      <w:tr w:rsidR="00024144" w:rsidRPr="00024144" w14:paraId="458D7F1E" w14:textId="77777777" w:rsidTr="00BC7705">
        <w:trPr>
          <w:trHeight w:val="1554"/>
          <w:jc w:val="center"/>
        </w:trPr>
        <w:tc>
          <w:tcPr>
            <w:tcW w:w="1821" w:type="dxa"/>
            <w:shd w:val="clear" w:color="auto" w:fill="auto"/>
            <w:vAlign w:val="center"/>
            <w:hideMark/>
          </w:tcPr>
          <w:p w14:paraId="20219138" w14:textId="77777777" w:rsidR="00024144" w:rsidRPr="00024144" w:rsidRDefault="00024144" w:rsidP="00024144">
            <w:pPr>
              <w:spacing w:before="16" w:after="16"/>
              <w:rPr>
                <w:rFonts w:cs="Times New Roman"/>
              </w:rPr>
            </w:pPr>
            <w:r w:rsidRPr="00024144">
              <w:rPr>
                <w:rFonts w:cs="Times New Roman"/>
              </w:rPr>
              <w:t>Decreto 1232 de 2020</w:t>
            </w:r>
          </w:p>
        </w:tc>
        <w:tc>
          <w:tcPr>
            <w:tcW w:w="0" w:type="auto"/>
            <w:shd w:val="clear" w:color="auto" w:fill="auto"/>
            <w:hideMark/>
          </w:tcPr>
          <w:p w14:paraId="42CCCAD1" w14:textId="77777777" w:rsidR="00024144" w:rsidRPr="00024144" w:rsidRDefault="00024144" w:rsidP="00024144">
            <w:pPr>
              <w:spacing w:before="16" w:after="16"/>
              <w:rPr>
                <w:rFonts w:cs="Times New Roman"/>
              </w:rPr>
            </w:pPr>
            <w:r w:rsidRPr="00024144">
              <w:rPr>
                <w:rFonts w:cs="Times New Roman"/>
              </w:rPr>
              <w:t>Por medio del cual se adiciona y modifica el Artículo 2.2.1.1 del Título 1, se modifica la sección 2 del capítulo 1 del Título 2 y se adiciona el Artículo 2.2.4.1.2.2 de la sección 2 del capítulo 1 del título 4, de la parte 2 del Libro 2 del Decreto 1077 de 2015 Único reglamentario del sector Vivienda, Ciudad y Territorio, en lo relacionado con la planeación del ordenamiento territorial.</w:t>
            </w:r>
          </w:p>
        </w:tc>
      </w:tr>
    </w:tbl>
    <w:p w14:paraId="6052731E" w14:textId="77777777" w:rsidR="00024144" w:rsidRPr="00024144" w:rsidRDefault="00024144" w:rsidP="00024144">
      <w:pPr>
        <w:spacing w:before="16" w:after="16"/>
        <w:rPr>
          <w:rFonts w:cs="Times New Roman"/>
          <w:lang w:val="es-MX"/>
        </w:rPr>
      </w:pPr>
    </w:p>
    <w:p w14:paraId="56174234" w14:textId="77777777" w:rsidR="00024144" w:rsidRPr="00024144" w:rsidRDefault="00024144" w:rsidP="00024144">
      <w:pPr>
        <w:spacing w:before="16" w:after="16"/>
        <w:rPr>
          <w:rFonts w:cs="Times New Roman"/>
          <w:b/>
          <w:lang w:val="es-MX"/>
        </w:rPr>
      </w:pPr>
    </w:p>
    <w:p w14:paraId="7F2ACA6F" w14:textId="77777777" w:rsidR="00024144" w:rsidRPr="00024144" w:rsidRDefault="00024144" w:rsidP="00024144">
      <w:pPr>
        <w:spacing w:before="16" w:after="16"/>
        <w:rPr>
          <w:rFonts w:cs="Times New Roman"/>
          <w:lang w:val="es-MX"/>
        </w:rPr>
      </w:pPr>
    </w:p>
    <w:p w14:paraId="19A08576" w14:textId="3E2CB00C" w:rsidR="00024144" w:rsidRDefault="00024144" w:rsidP="008B0E9E">
      <w:pPr>
        <w:spacing w:before="16" w:after="16"/>
        <w:rPr>
          <w:rFonts w:cs="Times New Roman"/>
        </w:rPr>
      </w:pPr>
    </w:p>
    <w:p w14:paraId="536A8E54" w14:textId="27E6FC13" w:rsidR="00024144" w:rsidRDefault="00024144" w:rsidP="008B0E9E">
      <w:pPr>
        <w:spacing w:before="16" w:after="16"/>
        <w:rPr>
          <w:rFonts w:cs="Times New Roman"/>
        </w:rPr>
      </w:pPr>
    </w:p>
    <w:p w14:paraId="6361293C" w14:textId="2177D5D0" w:rsidR="00024144" w:rsidRDefault="00024144" w:rsidP="008B0E9E">
      <w:pPr>
        <w:spacing w:before="16" w:after="16"/>
        <w:rPr>
          <w:rFonts w:cs="Times New Roman"/>
        </w:rPr>
      </w:pPr>
    </w:p>
    <w:p w14:paraId="0D525F70" w14:textId="2C23FB1E" w:rsidR="00024144" w:rsidRDefault="00024144" w:rsidP="008B0E9E">
      <w:pPr>
        <w:spacing w:before="16" w:after="16"/>
        <w:rPr>
          <w:rFonts w:cs="Times New Roman"/>
        </w:rPr>
      </w:pPr>
    </w:p>
    <w:p w14:paraId="7B6586E9" w14:textId="00F590C2" w:rsidR="00024144" w:rsidRDefault="00024144" w:rsidP="008B0E9E">
      <w:pPr>
        <w:spacing w:before="16" w:after="16"/>
        <w:rPr>
          <w:rFonts w:cs="Times New Roman"/>
        </w:rPr>
      </w:pPr>
    </w:p>
    <w:p w14:paraId="67BF1C8B" w14:textId="29B6F7EF" w:rsidR="00024144" w:rsidRDefault="00024144" w:rsidP="008B0E9E">
      <w:pPr>
        <w:spacing w:before="16" w:after="16"/>
        <w:rPr>
          <w:rFonts w:cs="Times New Roman"/>
        </w:rPr>
      </w:pPr>
    </w:p>
    <w:p w14:paraId="6B525F4B" w14:textId="521EA76C" w:rsidR="00024144" w:rsidRDefault="00024144" w:rsidP="008B0E9E">
      <w:pPr>
        <w:spacing w:before="16" w:after="16"/>
        <w:rPr>
          <w:rFonts w:cs="Times New Roman"/>
        </w:rPr>
      </w:pPr>
    </w:p>
    <w:p w14:paraId="7D09B8B7" w14:textId="7900468E" w:rsidR="00024144" w:rsidRDefault="00024144" w:rsidP="008B0E9E">
      <w:pPr>
        <w:spacing w:before="16" w:after="16"/>
        <w:rPr>
          <w:rFonts w:cs="Times New Roman"/>
        </w:rPr>
      </w:pPr>
    </w:p>
    <w:p w14:paraId="1A9F9C04" w14:textId="7831049D" w:rsidR="00024144" w:rsidRDefault="00024144" w:rsidP="008B0E9E">
      <w:pPr>
        <w:spacing w:before="16" w:after="16"/>
        <w:rPr>
          <w:rFonts w:cs="Times New Roman"/>
        </w:rPr>
      </w:pPr>
    </w:p>
    <w:p w14:paraId="0B8AFFF6" w14:textId="6E8A3CD5" w:rsidR="00024144" w:rsidRDefault="00024144" w:rsidP="008B0E9E">
      <w:pPr>
        <w:spacing w:before="16" w:after="16"/>
        <w:rPr>
          <w:rFonts w:cs="Times New Roman"/>
        </w:rPr>
      </w:pPr>
    </w:p>
    <w:p w14:paraId="484CA79F" w14:textId="3FC75C7F" w:rsidR="00024144" w:rsidRDefault="00024144" w:rsidP="008B0E9E">
      <w:pPr>
        <w:spacing w:before="16" w:after="16"/>
        <w:rPr>
          <w:rFonts w:cs="Times New Roman"/>
        </w:rPr>
      </w:pPr>
    </w:p>
    <w:p w14:paraId="5E3456E4" w14:textId="18F6521B" w:rsidR="00024144" w:rsidRDefault="00024144" w:rsidP="008B0E9E">
      <w:pPr>
        <w:spacing w:before="16" w:after="16"/>
        <w:rPr>
          <w:rFonts w:cs="Times New Roman"/>
        </w:rPr>
      </w:pPr>
    </w:p>
    <w:p w14:paraId="3CB89127" w14:textId="0FA5599E" w:rsidR="00024144" w:rsidRDefault="00024144" w:rsidP="008B0E9E">
      <w:pPr>
        <w:spacing w:before="16" w:after="16"/>
        <w:rPr>
          <w:rFonts w:cs="Times New Roman"/>
        </w:rPr>
      </w:pPr>
    </w:p>
    <w:p w14:paraId="556BAAB5" w14:textId="1E80D752" w:rsidR="00024144" w:rsidRDefault="00024144" w:rsidP="008B0E9E">
      <w:pPr>
        <w:spacing w:before="16" w:after="16"/>
        <w:rPr>
          <w:rFonts w:cs="Times New Roman"/>
        </w:rPr>
      </w:pPr>
    </w:p>
    <w:p w14:paraId="4FD1180A" w14:textId="23941AC4" w:rsidR="00024144" w:rsidRDefault="00024144" w:rsidP="008B0E9E">
      <w:pPr>
        <w:spacing w:before="16" w:after="16"/>
        <w:rPr>
          <w:rFonts w:cs="Times New Roman"/>
        </w:rPr>
      </w:pPr>
    </w:p>
    <w:p w14:paraId="03D39099" w14:textId="77777777" w:rsidR="00024144" w:rsidRDefault="00024144" w:rsidP="008B0E9E">
      <w:pPr>
        <w:spacing w:before="16" w:after="16"/>
        <w:rPr>
          <w:rFonts w:cs="Times New Roman"/>
        </w:rPr>
      </w:pPr>
    </w:p>
    <w:p w14:paraId="5993B365" w14:textId="77777777" w:rsidR="00024144" w:rsidRPr="00024144" w:rsidRDefault="00024144" w:rsidP="008B0E9E">
      <w:pPr>
        <w:spacing w:before="16" w:after="16"/>
        <w:rPr>
          <w:rFonts w:cs="Times New Roman"/>
          <w:lang w:val="es-ES"/>
        </w:rPr>
      </w:pPr>
    </w:p>
    <w:p w14:paraId="5C3A5D71" w14:textId="461FA17A" w:rsidR="005A1DAB" w:rsidRDefault="005A1DAB" w:rsidP="008B0E9E">
      <w:pPr>
        <w:spacing w:before="16" w:after="16"/>
        <w:rPr>
          <w:rFonts w:cs="Times New Roman"/>
        </w:rPr>
      </w:pPr>
    </w:p>
    <w:p w14:paraId="46828E9A" w14:textId="52B86A84" w:rsidR="005A1DAB" w:rsidRPr="00D234D8" w:rsidRDefault="00D234D8" w:rsidP="00024144">
      <w:pPr>
        <w:pStyle w:val="Prrafodelista"/>
        <w:numPr>
          <w:ilvl w:val="0"/>
          <w:numId w:val="31"/>
        </w:numPr>
        <w:spacing w:before="16" w:after="16"/>
        <w:jc w:val="center"/>
        <w:rPr>
          <w:rFonts w:cs="Times New Roman"/>
          <w:b/>
        </w:rPr>
      </w:pPr>
      <w:r w:rsidRPr="00D234D8">
        <w:rPr>
          <w:rFonts w:cs="Times New Roman"/>
          <w:b/>
        </w:rPr>
        <w:lastRenderedPageBreak/>
        <w:t>Etapas</w:t>
      </w:r>
    </w:p>
    <w:p w14:paraId="07DB3C5F" w14:textId="5CD2156E" w:rsidR="00D234D8" w:rsidRDefault="00D234D8" w:rsidP="00D234D8">
      <w:pPr>
        <w:spacing w:before="16" w:after="16"/>
        <w:rPr>
          <w:rFonts w:cs="Times New Roman"/>
        </w:rPr>
      </w:pPr>
      <w:r w:rsidRPr="00D234D8">
        <w:rPr>
          <w:rFonts w:cs="Times New Roman"/>
        </w:rPr>
        <w:t>Identificación de las etapas y productos que se deben tener en cuenta para la revisión del plan de ordenamiento.</w:t>
      </w:r>
    </w:p>
    <w:p w14:paraId="6B243AB4" w14:textId="3479E799" w:rsidR="00F37CFC" w:rsidRPr="00F37CFC" w:rsidRDefault="00F37CFC" w:rsidP="00F37CFC">
      <w:pPr>
        <w:pStyle w:val="Prrafodelista"/>
        <w:numPr>
          <w:ilvl w:val="1"/>
          <w:numId w:val="31"/>
        </w:numPr>
        <w:spacing w:before="16" w:after="16"/>
        <w:rPr>
          <w:rFonts w:cs="Times New Roman"/>
          <w:b/>
          <w:lang w:val="en-US"/>
        </w:rPr>
      </w:pPr>
      <w:r>
        <w:rPr>
          <w:rFonts w:cs="Times New Roman"/>
          <w:b/>
          <w:lang w:val="en-US"/>
        </w:rPr>
        <w:t>Alistamiento</w:t>
      </w:r>
    </w:p>
    <w:p w14:paraId="67ED09DE" w14:textId="77777777" w:rsidR="00F37CFC" w:rsidRPr="00F37CFC" w:rsidRDefault="00F37CFC" w:rsidP="00F37CFC">
      <w:pPr>
        <w:spacing w:before="16" w:after="16"/>
        <w:rPr>
          <w:rFonts w:cs="Times New Roman"/>
          <w:b/>
          <w:lang w:val="en-US"/>
        </w:rPr>
      </w:pPr>
    </w:p>
    <w:p w14:paraId="0BA07ADE" w14:textId="77777777" w:rsidR="00F37CFC" w:rsidRPr="00F37CFC" w:rsidRDefault="00F37CFC" w:rsidP="00F37CFC">
      <w:pPr>
        <w:spacing w:before="16" w:after="16"/>
        <w:rPr>
          <w:rFonts w:cs="Times New Roman"/>
          <w:b/>
          <w:lang w:val="en-US"/>
        </w:rPr>
      </w:pPr>
      <w:r w:rsidRPr="00F37CFC">
        <w:rPr>
          <w:rFonts w:cs="Times New Roman"/>
          <w:b/>
          <w:noProof/>
          <w:lang w:val="en-US"/>
        </w:rPr>
        <w:drawing>
          <wp:inline distT="0" distB="0" distL="0" distR="0" wp14:anchorId="11B72657" wp14:editId="3A468C95">
            <wp:extent cx="5486400" cy="3200400"/>
            <wp:effectExtent l="0" t="0" r="0" b="1905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6965BBC" w14:textId="77777777" w:rsidR="00F37CFC" w:rsidRPr="00F37CFC" w:rsidRDefault="00F37CFC" w:rsidP="00F37CFC">
      <w:pPr>
        <w:spacing w:before="16" w:after="16"/>
        <w:rPr>
          <w:rFonts w:cs="Times New Roman"/>
          <w:b/>
          <w:lang w:val="en-US"/>
        </w:rPr>
      </w:pPr>
    </w:p>
    <w:p w14:paraId="714A00E7" w14:textId="77777777" w:rsidR="00F37CFC" w:rsidRPr="00F37CFC" w:rsidRDefault="00F37CFC" w:rsidP="00F37CFC">
      <w:pPr>
        <w:spacing w:before="16" w:after="16"/>
        <w:rPr>
          <w:rFonts w:cs="Times New Roman"/>
          <w:b/>
          <w:lang w:val="en-US"/>
        </w:rPr>
      </w:pPr>
    </w:p>
    <w:p w14:paraId="3F11944E" w14:textId="0D06BA56" w:rsidR="00F37CFC" w:rsidRPr="00F37CFC" w:rsidRDefault="00F37CFC" w:rsidP="00F37CFC">
      <w:pPr>
        <w:pStyle w:val="Prrafodelista"/>
        <w:numPr>
          <w:ilvl w:val="2"/>
          <w:numId w:val="31"/>
        </w:numPr>
        <w:spacing w:before="16" w:after="16"/>
        <w:rPr>
          <w:rFonts w:cs="Times New Roman"/>
          <w:b/>
        </w:rPr>
      </w:pPr>
      <w:r w:rsidRPr="00F37CFC">
        <w:rPr>
          <w:rFonts w:cs="Times New Roman"/>
          <w:b/>
        </w:rPr>
        <w:t>Analizar la Capacidad Institucional:</w:t>
      </w:r>
    </w:p>
    <w:p w14:paraId="20734DE1" w14:textId="77777777" w:rsidR="00F37CFC" w:rsidRPr="00F37CFC" w:rsidRDefault="00F37CFC" w:rsidP="00F37CFC">
      <w:pPr>
        <w:spacing w:before="16" w:after="16"/>
        <w:rPr>
          <w:rFonts w:cs="Times New Roman"/>
        </w:rPr>
      </w:pPr>
      <w:r w:rsidRPr="00F37CFC">
        <w:rPr>
          <w:rFonts w:cs="Times New Roman"/>
        </w:rPr>
        <w:t>El primer paso en la etapa de alistamiento es analizar la capacidad institucional del municipio. Esto implica evaluar las capacidades técnicas, administrativas y financieras de la alcaldía para formular y ejecutar el Plan de Ordenamiento Territorial (POT). Es fundamental definir las fuentes de financiación necesarias para este proceso, considerando la revisión del POT como un proyecto de inversión. Identificar los actores estratégicos con los cuales interactuar, como el Gobierno Nacional, el departamento y las autoridades ambientales, es crucial para garantizar una colaboración efectiva. Además, es necesario verificar la existencia y el estado de los estudios básicos de gestión del riesgo en el municipio. Revisar el plan de desarrollo municipal y asegurarse de que la elaboración del POT esté incluida en el plan de inversiones, asignando recursos si es necesario.</w:t>
      </w:r>
    </w:p>
    <w:p w14:paraId="027F668A" w14:textId="19CD5235" w:rsidR="00F37CFC" w:rsidRPr="00F37CFC" w:rsidRDefault="00F37CFC" w:rsidP="00F37CFC">
      <w:pPr>
        <w:pStyle w:val="Prrafodelista"/>
        <w:numPr>
          <w:ilvl w:val="2"/>
          <w:numId w:val="31"/>
        </w:numPr>
        <w:spacing w:before="16" w:after="16"/>
        <w:rPr>
          <w:rFonts w:cs="Times New Roman"/>
          <w:b/>
        </w:rPr>
      </w:pPr>
      <w:r w:rsidRPr="00F37CFC">
        <w:rPr>
          <w:rFonts w:cs="Times New Roman"/>
          <w:b/>
        </w:rPr>
        <w:lastRenderedPageBreak/>
        <w:t>Conformar el Equipo de Trabajo:</w:t>
      </w:r>
    </w:p>
    <w:p w14:paraId="6C8D7FA4" w14:textId="77777777" w:rsidR="00F37CFC" w:rsidRPr="00F37CFC" w:rsidRDefault="00F37CFC" w:rsidP="00F37CFC">
      <w:pPr>
        <w:spacing w:before="16" w:after="16"/>
        <w:rPr>
          <w:rFonts w:cs="Times New Roman"/>
        </w:rPr>
      </w:pPr>
      <w:r w:rsidRPr="00F37CFC">
        <w:rPr>
          <w:rFonts w:cs="Times New Roman"/>
        </w:rPr>
        <w:t>La conformación de un equipo de trabajo adecuado es esencial para la formulación del POT. Es recomendable designar un líder responsable, preferiblemente dentro de la secretaría de planeación municipal, quien mantendrá al alcalde o alcaldesa informado del progreso. Este líder debe contar con el respaldo y la confianza de la administración municipal. Seleccionar un equipo interdisciplinario con experiencia y conocimiento en ordenamiento territorial es vital. El equipo debe incluir expertos en diversas áreas como desarrollo rural, economía, medio ambiente, y derecho urbano, entre otros. Además, se debe asegurar la probidad y transparencia del equipo, evitando conflictos de interés.</w:t>
      </w:r>
    </w:p>
    <w:p w14:paraId="0B66A9AD" w14:textId="2C8E6AF0" w:rsidR="00F37CFC" w:rsidRPr="00F37CFC" w:rsidRDefault="00F37CFC" w:rsidP="00F37CFC">
      <w:pPr>
        <w:pStyle w:val="Prrafodelista"/>
        <w:numPr>
          <w:ilvl w:val="2"/>
          <w:numId w:val="31"/>
        </w:numPr>
        <w:spacing w:before="16" w:after="16"/>
        <w:rPr>
          <w:rFonts w:cs="Times New Roman"/>
          <w:b/>
        </w:rPr>
      </w:pPr>
      <w:r w:rsidRPr="00F37CFC">
        <w:rPr>
          <w:rFonts w:cs="Times New Roman"/>
          <w:b/>
        </w:rPr>
        <w:t>Diseñar una Estrategia de Participación:</w:t>
      </w:r>
    </w:p>
    <w:p w14:paraId="7C87F609" w14:textId="77777777" w:rsidR="00F37CFC" w:rsidRPr="00F37CFC" w:rsidRDefault="00F37CFC" w:rsidP="00F37CFC">
      <w:pPr>
        <w:spacing w:before="16" w:after="16"/>
        <w:rPr>
          <w:rFonts w:cs="Times New Roman"/>
        </w:rPr>
      </w:pPr>
      <w:r w:rsidRPr="00F37CFC">
        <w:rPr>
          <w:rFonts w:cs="Times New Roman"/>
        </w:rPr>
        <w:t>Diseñar una estrategia de participación ciudadana es un elemento fundamental para la legitimidad y sostenibilidad del POT. Se deben identificar todos los actores que tienen influencia en el proceso de ordenamiento territorial, incluyendo actores públicos, privados y comunitarios. Establecer instancias de participación y consulta, como el Consejo Territorial de Planeación y las Juntas Metropolitanas, es crucial para asegurar una amplia representación. Planificar sesiones de trabajo con estos actores a lo largo del proceso, utilizando metodologías participativas y herramientas pedagógicas para registrar la información obtenida, permitirá construir una visión común del territorio y facilitará la toma de decisiones colectivas.</w:t>
      </w:r>
    </w:p>
    <w:p w14:paraId="06F6AD36" w14:textId="3040DBF8" w:rsidR="00F37CFC" w:rsidRPr="00F37CFC" w:rsidRDefault="00F37CFC" w:rsidP="00F37CFC">
      <w:pPr>
        <w:pStyle w:val="Prrafodelista"/>
        <w:numPr>
          <w:ilvl w:val="2"/>
          <w:numId w:val="31"/>
        </w:numPr>
        <w:spacing w:before="16" w:after="16"/>
        <w:rPr>
          <w:rFonts w:cs="Times New Roman"/>
          <w:b/>
        </w:rPr>
      </w:pPr>
      <w:r w:rsidRPr="00F37CFC">
        <w:rPr>
          <w:rFonts w:cs="Times New Roman"/>
          <w:b/>
        </w:rPr>
        <w:t>Recolectar la Información Necesaria:</w:t>
      </w:r>
    </w:p>
    <w:p w14:paraId="405FA07F" w14:textId="77777777" w:rsidR="00F37CFC" w:rsidRPr="00F37CFC" w:rsidRDefault="00F37CFC" w:rsidP="00F37CFC">
      <w:pPr>
        <w:spacing w:before="16" w:after="16"/>
        <w:rPr>
          <w:rFonts w:cs="Times New Roman"/>
        </w:rPr>
      </w:pPr>
      <w:r w:rsidRPr="00F37CFC">
        <w:rPr>
          <w:rFonts w:cs="Times New Roman"/>
        </w:rPr>
        <w:t>La recolección de información específica del municipio es una de las tareas más importantes en la etapa de alistamiento. Se debe identificar y reunir información clave, como datos demográficos, áreas urbanas y rurales, estudios de amenazas y riesgos, y cartografía básica. Es fundamental evitar la recolección de información irrelevante que pueda complicar el proceso. Toda la información debe ser específica y ajustada a la realidad del municipio. Utilizar mapas y documentos existentes y, si es necesario, gestionar la obtención de información adicional asegurará que el equipo formulador del POT tenga todos los insumos necesarios para una planificación efectiva.</w:t>
      </w:r>
    </w:p>
    <w:p w14:paraId="2F9D0499" w14:textId="2BA92A5C" w:rsidR="00F37CFC" w:rsidRPr="00F37CFC" w:rsidRDefault="00F37CFC" w:rsidP="00F37CFC">
      <w:pPr>
        <w:pStyle w:val="Prrafodelista"/>
        <w:numPr>
          <w:ilvl w:val="2"/>
          <w:numId w:val="31"/>
        </w:numPr>
        <w:spacing w:before="16" w:after="16"/>
        <w:rPr>
          <w:rFonts w:cs="Times New Roman"/>
          <w:b/>
        </w:rPr>
      </w:pPr>
      <w:r w:rsidRPr="00F37CFC">
        <w:rPr>
          <w:rFonts w:cs="Times New Roman"/>
          <w:b/>
        </w:rPr>
        <w:t>Evaluar el POT Vigente:</w:t>
      </w:r>
    </w:p>
    <w:p w14:paraId="3B29DA1D" w14:textId="65E4E95C" w:rsidR="00F37CFC" w:rsidRDefault="00F37CFC" w:rsidP="00D234D8">
      <w:pPr>
        <w:spacing w:before="16" w:after="16"/>
        <w:rPr>
          <w:rFonts w:cs="Times New Roman"/>
        </w:rPr>
      </w:pPr>
      <w:r w:rsidRPr="00F37CFC">
        <w:rPr>
          <w:rFonts w:cs="Times New Roman"/>
        </w:rPr>
        <w:lastRenderedPageBreak/>
        <w:t>Evaluar el POT vigente es una actividad crítica para identificar problemas, logros y lecciones aprendidas. Esta evaluación consiste en hacer un balance de la ejecución del POT anterior, identificando las razones por las cuales no se ejecutó completamente y garantizando que esas dificultades se subsanen en el nuevo proceso de formulación del POT. Es importante conocer los logros y resultados del POT anterior, así como los compromisos previos que afectan el nuevo POT. Revisar las normas vigentes, los planes municipales y los proyectos de inversión actuales permitirá al equipo de trabajo identificar las áreas de mejora y planificar acciones correctivas para el nuevo POT.</w:t>
      </w:r>
    </w:p>
    <w:p w14:paraId="7F43B525" w14:textId="77777777" w:rsidR="00F37CFC" w:rsidRPr="00D234D8" w:rsidRDefault="00F37CFC" w:rsidP="00D234D8">
      <w:pPr>
        <w:spacing w:before="16" w:after="16"/>
        <w:rPr>
          <w:rFonts w:cs="Times New Roman"/>
        </w:rPr>
      </w:pPr>
    </w:p>
    <w:p w14:paraId="4B8C5697" w14:textId="78391C3E" w:rsidR="004F5483" w:rsidRPr="0021146B" w:rsidRDefault="00B80BD9" w:rsidP="0021146B">
      <w:pPr>
        <w:pStyle w:val="Prrafodelista"/>
        <w:numPr>
          <w:ilvl w:val="1"/>
          <w:numId w:val="31"/>
        </w:numPr>
        <w:spacing w:before="16" w:after="16"/>
        <w:rPr>
          <w:rFonts w:cs="Times New Roman"/>
          <w:b/>
        </w:rPr>
      </w:pPr>
      <w:r w:rsidRPr="0021146B">
        <w:rPr>
          <w:rFonts w:cs="Times New Roman"/>
          <w:b/>
        </w:rPr>
        <w:t xml:space="preserve">Seguimiento y evaluación </w:t>
      </w:r>
    </w:p>
    <w:p w14:paraId="3C9B77D4" w14:textId="77777777" w:rsidR="00CE3362" w:rsidRDefault="00CE3362" w:rsidP="00B80BD9">
      <w:pPr>
        <w:spacing w:before="16" w:after="16"/>
        <w:rPr>
          <w:rFonts w:cs="Times New Roman"/>
          <w:b/>
        </w:rPr>
      </w:pPr>
    </w:p>
    <w:p w14:paraId="0643C737" w14:textId="3221252A" w:rsidR="00B80BD9" w:rsidRPr="002A6260" w:rsidRDefault="00B80BD9" w:rsidP="00B80BD9">
      <w:pPr>
        <w:spacing w:before="16" w:after="16"/>
        <w:rPr>
          <w:rFonts w:cs="Times New Roman"/>
        </w:rPr>
      </w:pPr>
      <w:r w:rsidRPr="002A6260">
        <w:rPr>
          <w:rFonts w:cs="Times New Roman"/>
        </w:rPr>
        <w:t xml:space="preserve">El seguimiento y evaluación de los instrumentos de ordenamiento se realiza paralelamente a su implementación, recolectando y analizando información sistemáticamente cada año. Esto mide los avances en normas urbanísticas, el modelo territorial y los proyectos, evaluando la relevancia, eficiencia y efectividad del Plan. Este proceso, fundamentado en la ley 388 (art.112) y el decreto 1077 de 2015 (art. 2.2.2.1.2.1.5), </w:t>
      </w:r>
      <w:r w:rsidR="002A6260" w:rsidRPr="002A6260">
        <w:rPr>
          <w:rFonts w:cs="Times New Roman"/>
        </w:rPr>
        <w:t>establece la obligatoriedad para los municipios</w:t>
      </w:r>
      <w:r w:rsidRPr="002A6260">
        <w:rPr>
          <w:rFonts w:cs="Times New Roman"/>
        </w:rPr>
        <w:t xml:space="preserve"> a conformar el sistema del expediente municipal, y justif</w:t>
      </w:r>
      <w:r w:rsidR="002A6260" w:rsidRPr="002A6260">
        <w:rPr>
          <w:rFonts w:cs="Times New Roman"/>
        </w:rPr>
        <w:t>ica la revisión y ajuste del instrumento de ordenamiento según</w:t>
      </w:r>
      <w:r w:rsidRPr="002A6260">
        <w:rPr>
          <w:rFonts w:cs="Times New Roman"/>
        </w:rPr>
        <w:t xml:space="preserve"> los resultados obtenidos.</w:t>
      </w:r>
    </w:p>
    <w:p w14:paraId="31F34077" w14:textId="325EC958" w:rsidR="004F5483" w:rsidRPr="002A6260" w:rsidRDefault="002A6260" w:rsidP="002A6260">
      <w:pPr>
        <w:spacing w:before="16" w:after="16"/>
        <w:jc w:val="center"/>
        <w:rPr>
          <w:rFonts w:cs="Times New Roman"/>
          <w:b/>
        </w:rPr>
      </w:pPr>
      <w:r w:rsidRPr="002A6260">
        <w:rPr>
          <w:rFonts w:cs="Times New Roman"/>
          <w:b/>
          <w:noProof/>
          <w:lang w:val="en-US"/>
        </w:rPr>
        <w:drawing>
          <wp:inline distT="0" distB="0" distL="0" distR="0" wp14:anchorId="7EDA10F1" wp14:editId="33FE614F">
            <wp:extent cx="4761340" cy="1271415"/>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1220" cy="1282064"/>
                    </a:xfrm>
                    <a:prstGeom prst="rect">
                      <a:avLst/>
                    </a:prstGeom>
                  </pic:spPr>
                </pic:pic>
              </a:graphicData>
            </a:graphic>
          </wp:inline>
        </w:drawing>
      </w:r>
    </w:p>
    <w:p w14:paraId="795F1566" w14:textId="77E93110" w:rsidR="002A6260" w:rsidRPr="002A6260" w:rsidRDefault="002A6260" w:rsidP="002A6260">
      <w:pPr>
        <w:spacing w:before="16" w:after="16"/>
        <w:rPr>
          <w:rFonts w:cs="Times New Roman"/>
        </w:rPr>
      </w:pPr>
      <w:r w:rsidRPr="002A6260">
        <w:rPr>
          <w:rFonts w:cs="Times New Roman"/>
        </w:rPr>
        <w:t>Fuente: (Minvivienda, 2023)</w:t>
      </w:r>
    </w:p>
    <w:p w14:paraId="59D0537A" w14:textId="730D6FD9" w:rsidR="002A6260" w:rsidRPr="002A6260" w:rsidRDefault="002A6260" w:rsidP="002A6260">
      <w:pPr>
        <w:pStyle w:val="Prrafodelista"/>
        <w:numPr>
          <w:ilvl w:val="0"/>
          <w:numId w:val="20"/>
        </w:numPr>
        <w:spacing w:before="16" w:after="16"/>
        <w:rPr>
          <w:rFonts w:cs="Times New Roman"/>
          <w:b/>
        </w:rPr>
      </w:pPr>
      <w:r w:rsidRPr="002A6260">
        <w:rPr>
          <w:rFonts w:cs="Times New Roman"/>
          <w:b/>
        </w:rPr>
        <w:t>Expediente municipal</w:t>
      </w:r>
    </w:p>
    <w:p w14:paraId="281F59A5" w14:textId="77777777" w:rsidR="002A6260" w:rsidRPr="002A6260" w:rsidRDefault="002A6260" w:rsidP="002A6260">
      <w:pPr>
        <w:spacing w:before="16" w:after="16"/>
        <w:rPr>
          <w:rFonts w:cs="Times New Roman"/>
        </w:rPr>
      </w:pPr>
      <w:r w:rsidRPr="002A6260">
        <w:rPr>
          <w:rFonts w:cs="Times New Roman"/>
        </w:rPr>
        <w:t>El expediente municipal es un sistema de información para la planificación territorial que las administraciones municipales o distritales deben estructurar para hacer seguimiento y evaluación permanente a los resultados de la ejecución del POT y:</w:t>
      </w:r>
    </w:p>
    <w:p w14:paraId="16824304" w14:textId="402576F9" w:rsidR="002A6260" w:rsidRPr="002A6260" w:rsidRDefault="002A6260" w:rsidP="002A6260">
      <w:pPr>
        <w:pStyle w:val="Prrafodelista"/>
        <w:numPr>
          <w:ilvl w:val="0"/>
          <w:numId w:val="20"/>
        </w:numPr>
        <w:spacing w:before="16" w:after="16"/>
        <w:rPr>
          <w:rFonts w:cs="Times New Roman"/>
        </w:rPr>
      </w:pPr>
      <w:r w:rsidRPr="002A6260">
        <w:rPr>
          <w:rFonts w:cs="Times New Roman"/>
        </w:rPr>
        <w:t xml:space="preserve">Se basa sobre un sistema de indicadores                                                                                        </w:t>
      </w:r>
    </w:p>
    <w:p w14:paraId="1E519E03" w14:textId="3296AAB2" w:rsidR="002A6260" w:rsidRPr="002A6260" w:rsidRDefault="002A6260" w:rsidP="002A6260">
      <w:pPr>
        <w:pStyle w:val="Prrafodelista"/>
        <w:numPr>
          <w:ilvl w:val="0"/>
          <w:numId w:val="20"/>
        </w:numPr>
        <w:spacing w:before="16" w:after="16"/>
        <w:rPr>
          <w:rFonts w:cs="Times New Roman"/>
        </w:rPr>
      </w:pPr>
      <w:r w:rsidRPr="002A6260">
        <w:rPr>
          <w:rFonts w:cs="Times New Roman"/>
        </w:rPr>
        <w:lastRenderedPageBreak/>
        <w:t>Constituye la memoria institucional del proceso de planeación territorial del ente territorial.</w:t>
      </w:r>
    </w:p>
    <w:p w14:paraId="1E644FFC" w14:textId="785DEAC5" w:rsidR="004F5483" w:rsidRPr="002A6260" w:rsidRDefault="002A6260" w:rsidP="002A6260">
      <w:pPr>
        <w:pStyle w:val="Prrafodelista"/>
        <w:numPr>
          <w:ilvl w:val="0"/>
          <w:numId w:val="20"/>
        </w:numPr>
        <w:spacing w:before="16" w:after="16"/>
        <w:rPr>
          <w:rFonts w:cs="Times New Roman"/>
        </w:rPr>
      </w:pPr>
      <w:r w:rsidRPr="002A6260">
        <w:rPr>
          <w:rFonts w:cs="Times New Roman"/>
        </w:rPr>
        <w:t>Genera la información de soporte para que la administración municipal o distrital tome decisiones correctivas relacionadas con la implementación del plan de ordenamiento territorial, así como para la revisión y ajuste del POT. Esta información se consolidará en el Documento de Seguimiento y Evaluación al cierre del período constitucional de la administración o en ocasión de un proceso de revisión del POT. Adicionalmente, la norma vigente establece la obligatoriedad de realizar un informe cada año en el cual se recopila la información de seguimiento del Plan a partir del seguimiento a los indicadores.</w:t>
      </w:r>
    </w:p>
    <w:p w14:paraId="3F07ECCC" w14:textId="45364632" w:rsidR="004F5483" w:rsidRPr="002A6260" w:rsidRDefault="002A6260" w:rsidP="002A6260">
      <w:pPr>
        <w:spacing w:before="16" w:after="16"/>
        <w:ind w:left="142"/>
        <w:rPr>
          <w:rFonts w:cs="Times New Roman"/>
        </w:rPr>
      </w:pPr>
      <w:r w:rsidRPr="002A6260">
        <w:rPr>
          <w:rFonts w:cs="Times New Roman"/>
        </w:rPr>
        <w:t>Adicionalmente, se recomienda estructurar el sistema a partir de dos componentes: (1) El Archivo Técnico e Histórico y el (2) Sistema de Seguimiento y Evaluación. El primero es el repositorio oficial de la información relevante del ordenamiento territorial del municipio o distrito que se usará para el seguimiento; el segundo define los instrumentos para realizar el proceso de seguimiento el proceso de evaluación del POT de acuerdo con el esquema siguiente:</w:t>
      </w:r>
    </w:p>
    <w:p w14:paraId="4E2FCB2C" w14:textId="1AB231D4" w:rsidR="002A6260" w:rsidRPr="002A6260" w:rsidRDefault="002A6260" w:rsidP="002A6260">
      <w:pPr>
        <w:spacing w:before="16" w:after="16"/>
        <w:ind w:left="142"/>
        <w:jc w:val="center"/>
        <w:rPr>
          <w:rFonts w:cs="Times New Roman"/>
        </w:rPr>
      </w:pPr>
      <w:r w:rsidRPr="002A6260">
        <w:rPr>
          <w:rFonts w:cs="Times New Roman"/>
          <w:noProof/>
          <w:lang w:val="en-US"/>
        </w:rPr>
        <w:drawing>
          <wp:inline distT="0" distB="0" distL="0" distR="0" wp14:anchorId="412E4C4F" wp14:editId="0D474AC5">
            <wp:extent cx="4554607" cy="315029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1469" cy="3168876"/>
                    </a:xfrm>
                    <a:prstGeom prst="rect">
                      <a:avLst/>
                    </a:prstGeom>
                  </pic:spPr>
                </pic:pic>
              </a:graphicData>
            </a:graphic>
          </wp:inline>
        </w:drawing>
      </w:r>
    </w:p>
    <w:p w14:paraId="264D8123" w14:textId="77777777" w:rsidR="002A6260" w:rsidRPr="002A6260" w:rsidRDefault="002A6260" w:rsidP="002A6260">
      <w:pPr>
        <w:spacing w:before="16" w:after="16"/>
        <w:rPr>
          <w:rFonts w:cs="Times New Roman"/>
        </w:rPr>
      </w:pPr>
      <w:r w:rsidRPr="002A6260">
        <w:rPr>
          <w:rFonts w:cs="Times New Roman"/>
        </w:rPr>
        <w:t>Fuente: (Minvivienda, 2023)</w:t>
      </w:r>
    </w:p>
    <w:p w14:paraId="0F0FEF69" w14:textId="77777777" w:rsidR="0021146B" w:rsidRDefault="0021146B" w:rsidP="0021146B">
      <w:pPr>
        <w:spacing w:before="16" w:after="16"/>
        <w:rPr>
          <w:rFonts w:cs="Times New Roman"/>
        </w:rPr>
      </w:pPr>
    </w:p>
    <w:p w14:paraId="6E21F99E" w14:textId="23E2D40E" w:rsidR="002A6260" w:rsidRPr="0021146B" w:rsidRDefault="002A6260" w:rsidP="0021146B">
      <w:pPr>
        <w:pStyle w:val="Prrafodelista"/>
        <w:numPr>
          <w:ilvl w:val="2"/>
          <w:numId w:val="40"/>
        </w:numPr>
        <w:spacing w:before="16" w:after="16"/>
        <w:rPr>
          <w:rFonts w:cs="Times New Roman"/>
          <w:b/>
        </w:rPr>
      </w:pPr>
      <w:r w:rsidRPr="0021146B">
        <w:rPr>
          <w:rFonts w:cs="Times New Roman"/>
          <w:b/>
        </w:rPr>
        <w:lastRenderedPageBreak/>
        <w:t>Instancias con las cuales es recomendable compartir los resultados del seguimiento y evaluación</w:t>
      </w:r>
    </w:p>
    <w:p w14:paraId="28720F59" w14:textId="1A7D9CB3" w:rsidR="002A6260" w:rsidRPr="002A6260" w:rsidRDefault="002A6260" w:rsidP="002A6260">
      <w:pPr>
        <w:spacing w:before="16" w:after="16"/>
        <w:rPr>
          <w:rFonts w:cs="Times New Roman"/>
        </w:rPr>
      </w:pPr>
      <w:r w:rsidRPr="002A6260">
        <w:rPr>
          <w:rFonts w:cs="Times New Roman"/>
        </w:rPr>
        <w:t>Además de los Concejos Municipales o distritales, los resultados del</w:t>
      </w:r>
      <w:r>
        <w:rPr>
          <w:rFonts w:cs="Times New Roman"/>
        </w:rPr>
        <w:t xml:space="preserve"> seguimiento y evaluación del instrumento de ordenamiento</w:t>
      </w:r>
      <w:r w:rsidRPr="002A6260">
        <w:rPr>
          <w:rFonts w:cs="Times New Roman"/>
        </w:rPr>
        <w:t>, podrán compartirse con:</w:t>
      </w:r>
    </w:p>
    <w:p w14:paraId="3AC38101" w14:textId="77777777" w:rsidR="002A6260" w:rsidRPr="002A6260" w:rsidRDefault="002A6260" w:rsidP="002A6260">
      <w:pPr>
        <w:spacing w:before="16" w:after="16"/>
        <w:rPr>
          <w:rFonts w:cs="Times New Roman"/>
        </w:rPr>
      </w:pPr>
    </w:p>
    <w:p w14:paraId="7938DBA0" w14:textId="2EC9FF21" w:rsidR="002A6260" w:rsidRPr="002A6260" w:rsidRDefault="002A6260" w:rsidP="002A6260">
      <w:pPr>
        <w:pStyle w:val="Prrafodelista"/>
        <w:numPr>
          <w:ilvl w:val="0"/>
          <w:numId w:val="20"/>
        </w:numPr>
        <w:spacing w:before="16" w:after="16"/>
        <w:rPr>
          <w:rFonts w:cs="Times New Roman"/>
        </w:rPr>
      </w:pPr>
      <w:r w:rsidRPr="002A6260">
        <w:rPr>
          <w:rFonts w:cs="Times New Roman"/>
        </w:rPr>
        <w:t>El Consejo Territorial de Planeación</w:t>
      </w:r>
    </w:p>
    <w:p w14:paraId="154E8848" w14:textId="450BBB20" w:rsidR="002A6260" w:rsidRPr="002A6260" w:rsidRDefault="002A6260" w:rsidP="002A6260">
      <w:pPr>
        <w:pStyle w:val="Prrafodelista"/>
        <w:numPr>
          <w:ilvl w:val="0"/>
          <w:numId w:val="20"/>
        </w:numPr>
        <w:spacing w:before="16" w:after="16"/>
        <w:rPr>
          <w:rFonts w:cs="Times New Roman"/>
        </w:rPr>
      </w:pPr>
      <w:r w:rsidRPr="002A6260">
        <w:rPr>
          <w:rFonts w:cs="Times New Roman"/>
        </w:rPr>
        <w:t>El Consejo Consultivo de Ordenamiento (para los municipios con más de 30.000 habitantes) OBLIGATORIO</w:t>
      </w:r>
    </w:p>
    <w:p w14:paraId="00CEEF14" w14:textId="5F316F66" w:rsidR="002A6260" w:rsidRPr="002A6260" w:rsidRDefault="002A6260" w:rsidP="002A6260">
      <w:pPr>
        <w:pStyle w:val="Prrafodelista"/>
        <w:numPr>
          <w:ilvl w:val="0"/>
          <w:numId w:val="20"/>
        </w:numPr>
        <w:spacing w:before="16" w:after="16"/>
        <w:rPr>
          <w:rFonts w:cs="Times New Roman"/>
        </w:rPr>
      </w:pPr>
      <w:r w:rsidRPr="002A6260">
        <w:rPr>
          <w:rFonts w:cs="Times New Roman"/>
        </w:rPr>
        <w:t>Las Veedurías Ciudadanas</w:t>
      </w:r>
    </w:p>
    <w:p w14:paraId="7067B25B" w14:textId="14F9738C" w:rsidR="00DA0D5D" w:rsidRDefault="002A6260" w:rsidP="00DA0D5D">
      <w:pPr>
        <w:pStyle w:val="Prrafodelista"/>
        <w:numPr>
          <w:ilvl w:val="0"/>
          <w:numId w:val="20"/>
        </w:numPr>
        <w:spacing w:before="16" w:after="16"/>
        <w:rPr>
          <w:rFonts w:cs="Times New Roman"/>
        </w:rPr>
      </w:pPr>
      <w:r w:rsidRPr="002A6260">
        <w:rPr>
          <w:rFonts w:cs="Times New Roman"/>
        </w:rPr>
        <w:t>El Consejo Municipal de Gestión del Riesgo de Desastre</w:t>
      </w:r>
    </w:p>
    <w:p w14:paraId="40D27B7B" w14:textId="77777777" w:rsidR="00DA0D5D" w:rsidRPr="00DA0D5D" w:rsidRDefault="00DA0D5D" w:rsidP="00DA0D5D">
      <w:pPr>
        <w:pStyle w:val="Prrafodelista"/>
        <w:spacing w:before="16" w:after="16"/>
        <w:rPr>
          <w:rFonts w:cs="Times New Roman"/>
        </w:rPr>
      </w:pPr>
    </w:p>
    <w:p w14:paraId="06B791A8" w14:textId="06E0D90A" w:rsidR="00DA0D5D" w:rsidRPr="0021146B" w:rsidRDefault="00DA0D5D" w:rsidP="0021146B">
      <w:pPr>
        <w:pStyle w:val="Prrafodelista"/>
        <w:numPr>
          <w:ilvl w:val="1"/>
          <w:numId w:val="39"/>
        </w:numPr>
        <w:spacing w:before="16" w:after="16"/>
        <w:rPr>
          <w:rFonts w:cs="Times New Roman"/>
          <w:b/>
        </w:rPr>
      </w:pPr>
      <w:r w:rsidRPr="0021146B">
        <w:rPr>
          <w:rFonts w:cs="Times New Roman"/>
          <w:b/>
        </w:rPr>
        <w:t>Diagnóstico</w:t>
      </w:r>
    </w:p>
    <w:p w14:paraId="6621E832" w14:textId="36D6D971" w:rsidR="00DA0D5D" w:rsidRDefault="00DA0D5D" w:rsidP="00DA0D5D">
      <w:pPr>
        <w:spacing w:before="16" w:after="16"/>
        <w:rPr>
          <w:rFonts w:cs="Times New Roman"/>
        </w:rPr>
      </w:pPr>
      <w:r w:rsidRPr="00DA0D5D">
        <w:rPr>
          <w:rFonts w:cs="Times New Roman"/>
        </w:rPr>
        <w:t>El diagnóstico es la etapa dentro del proceso de planificación del ordenamiento territorial, que analiza de forma integral las condiciones actuales del territorio. En ese sentido se adelantarán acciones para recopilar y analizar la información disponible y relevante de cara al proceso de elaboración,</w:t>
      </w:r>
      <w:r>
        <w:rPr>
          <w:rFonts w:cs="Times New Roman"/>
        </w:rPr>
        <w:t xml:space="preserve"> revisión o modificación del instrumento de ordenamiento</w:t>
      </w:r>
      <w:r w:rsidRPr="00DA0D5D">
        <w:rPr>
          <w:rFonts w:cs="Times New Roman"/>
        </w:rPr>
        <w:t xml:space="preserve"> a partir de l</w:t>
      </w:r>
      <w:r>
        <w:rPr>
          <w:rFonts w:cs="Times New Roman"/>
        </w:rPr>
        <w:t xml:space="preserve">as 5 dimensiones del territorio </w:t>
      </w:r>
      <w:r w:rsidR="00BD0536">
        <w:rPr>
          <w:rFonts w:cs="Times New Roman"/>
        </w:rPr>
        <w:t>y la</w:t>
      </w:r>
      <w:r>
        <w:rPr>
          <w:rFonts w:cs="Times New Roman"/>
        </w:rPr>
        <w:t xml:space="preserve"> i</w:t>
      </w:r>
      <w:r w:rsidRPr="00DA0D5D">
        <w:rPr>
          <w:rFonts w:cs="Times New Roman"/>
        </w:rPr>
        <w:t>nclusión de la comunidad en la identificación de problemas y oportunidades, garantizando un enfoque participativo.</w:t>
      </w:r>
    </w:p>
    <w:p w14:paraId="6B608E87" w14:textId="7248C002" w:rsidR="00BD0536" w:rsidRDefault="00BD0536" w:rsidP="00DA0D5D">
      <w:pPr>
        <w:spacing w:before="16" w:after="16"/>
        <w:rPr>
          <w:rFonts w:cs="Times New Roman"/>
        </w:rPr>
      </w:pPr>
    </w:p>
    <w:p w14:paraId="6BFB0D60" w14:textId="52E685F8" w:rsidR="00BD0536" w:rsidRDefault="00BD0536" w:rsidP="00BD0536">
      <w:pPr>
        <w:spacing w:before="16" w:after="16"/>
        <w:jc w:val="center"/>
        <w:rPr>
          <w:rFonts w:cs="Times New Roman"/>
        </w:rPr>
      </w:pPr>
      <w:r w:rsidRPr="00BD0536">
        <w:rPr>
          <w:rFonts w:cs="Times New Roman"/>
          <w:noProof/>
          <w:lang w:val="en-US"/>
        </w:rPr>
        <w:drawing>
          <wp:inline distT="0" distB="0" distL="0" distR="0" wp14:anchorId="70AE5275" wp14:editId="73ED7555">
            <wp:extent cx="5079392" cy="2857517"/>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9700" cy="2863316"/>
                    </a:xfrm>
                    <a:prstGeom prst="rect">
                      <a:avLst/>
                    </a:prstGeom>
                  </pic:spPr>
                </pic:pic>
              </a:graphicData>
            </a:graphic>
          </wp:inline>
        </w:drawing>
      </w:r>
    </w:p>
    <w:p w14:paraId="5DA4D19C" w14:textId="78A4F04F" w:rsidR="00BD0536" w:rsidRDefault="00BD0536" w:rsidP="00BD0536">
      <w:pPr>
        <w:spacing w:before="16" w:after="16"/>
        <w:rPr>
          <w:rFonts w:cs="Times New Roman"/>
        </w:rPr>
      </w:pPr>
      <w:r w:rsidRPr="002A6260">
        <w:rPr>
          <w:rFonts w:cs="Times New Roman"/>
        </w:rPr>
        <w:lastRenderedPageBreak/>
        <w:t>Fuente: (Minvivienda, 2023)</w:t>
      </w:r>
    </w:p>
    <w:p w14:paraId="6AA3FAD6" w14:textId="2FDAD290" w:rsidR="00BD0536" w:rsidRDefault="00BD0536" w:rsidP="00BD0536">
      <w:pPr>
        <w:spacing w:before="16" w:after="16"/>
        <w:rPr>
          <w:rFonts w:cs="Times New Roman"/>
        </w:rPr>
      </w:pPr>
    </w:p>
    <w:p w14:paraId="02D6105D" w14:textId="552653EB" w:rsidR="00BD0536" w:rsidRPr="002A6260" w:rsidRDefault="00BD0536" w:rsidP="00BD0536">
      <w:pPr>
        <w:spacing w:before="16" w:after="16"/>
        <w:rPr>
          <w:rFonts w:cs="Times New Roman"/>
        </w:rPr>
      </w:pPr>
    </w:p>
    <w:p w14:paraId="7C7DB40B" w14:textId="7F581B47" w:rsidR="00BD0536" w:rsidRDefault="00BD0536" w:rsidP="00BD0536">
      <w:pPr>
        <w:pStyle w:val="Prrafodelista"/>
        <w:numPr>
          <w:ilvl w:val="0"/>
          <w:numId w:val="20"/>
        </w:numPr>
        <w:spacing w:before="16" w:after="16"/>
        <w:rPr>
          <w:rFonts w:cs="Times New Roman"/>
          <w:b/>
        </w:rPr>
      </w:pPr>
      <w:r w:rsidRPr="00BD0536">
        <w:rPr>
          <w:rFonts w:cs="Times New Roman"/>
          <w:b/>
        </w:rPr>
        <w:t xml:space="preserve">Cartografía del diagnóstico </w:t>
      </w:r>
    </w:p>
    <w:p w14:paraId="721B7AA3" w14:textId="34C80642" w:rsidR="00BD0536" w:rsidRPr="00BD0536" w:rsidRDefault="00BD0536" w:rsidP="00BD0536">
      <w:pPr>
        <w:spacing w:before="16" w:after="16"/>
        <w:rPr>
          <w:rFonts w:cs="Times New Roman"/>
        </w:rPr>
      </w:pPr>
      <w:r>
        <w:rPr>
          <w:rFonts w:cs="Times New Roman"/>
        </w:rPr>
        <w:t>Teniendo en cuenta el decreto 1232 de 2020, l</w:t>
      </w:r>
      <w:r w:rsidRPr="00BD0536">
        <w:rPr>
          <w:rFonts w:cs="Times New Roman"/>
        </w:rPr>
        <w:t>a cartografía de diagnóstico se debe elaborar de acuerdo a los análisis adelantados por dimensiones:</w:t>
      </w:r>
    </w:p>
    <w:tbl>
      <w:tblPr>
        <w:tblStyle w:val="Tablaconcuadrcula"/>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07"/>
        <w:gridCol w:w="6431"/>
      </w:tblGrid>
      <w:tr w:rsidR="009D0DF1" w:rsidRPr="009D0DF1" w14:paraId="6C9BB25F" w14:textId="77777777" w:rsidTr="000F1E4D">
        <w:trPr>
          <w:trHeight w:val="315"/>
        </w:trPr>
        <w:tc>
          <w:tcPr>
            <w:tcW w:w="1362" w:type="pct"/>
            <w:noWrap/>
            <w:hideMark/>
          </w:tcPr>
          <w:p w14:paraId="3D07AA77" w14:textId="77777777" w:rsidR="009D0DF1" w:rsidRPr="009D0DF1" w:rsidRDefault="009D0DF1" w:rsidP="009D0DF1">
            <w:pPr>
              <w:spacing w:before="16" w:after="16"/>
              <w:rPr>
                <w:rFonts w:cs="Times New Roman"/>
                <w:b/>
                <w:bCs/>
                <w:sz w:val="18"/>
                <w:szCs w:val="20"/>
              </w:rPr>
            </w:pPr>
            <w:r w:rsidRPr="009D0DF1">
              <w:rPr>
                <w:rFonts w:cs="Times New Roman"/>
                <w:b/>
                <w:bCs/>
                <w:sz w:val="18"/>
                <w:szCs w:val="20"/>
              </w:rPr>
              <w:t>DIMENSIÓN</w:t>
            </w:r>
          </w:p>
        </w:tc>
        <w:tc>
          <w:tcPr>
            <w:tcW w:w="3638" w:type="pct"/>
            <w:hideMark/>
          </w:tcPr>
          <w:p w14:paraId="6A237065" w14:textId="77777777" w:rsidR="009D0DF1" w:rsidRPr="009D0DF1" w:rsidRDefault="009D0DF1" w:rsidP="009D0DF1">
            <w:pPr>
              <w:spacing w:before="16" w:after="16"/>
              <w:rPr>
                <w:rFonts w:cs="Times New Roman"/>
                <w:b/>
                <w:bCs/>
                <w:sz w:val="18"/>
                <w:szCs w:val="20"/>
              </w:rPr>
            </w:pPr>
            <w:r w:rsidRPr="009D0DF1">
              <w:rPr>
                <w:rFonts w:cs="Times New Roman"/>
                <w:b/>
                <w:bCs/>
                <w:sz w:val="18"/>
                <w:szCs w:val="20"/>
              </w:rPr>
              <w:t>TEMAS</w:t>
            </w:r>
          </w:p>
        </w:tc>
      </w:tr>
      <w:tr w:rsidR="009D0DF1" w:rsidRPr="009D0DF1" w14:paraId="295A4A13" w14:textId="77777777" w:rsidTr="000F1E4D">
        <w:trPr>
          <w:trHeight w:val="206"/>
        </w:trPr>
        <w:tc>
          <w:tcPr>
            <w:tcW w:w="1362" w:type="pct"/>
            <w:vMerge w:val="restart"/>
            <w:noWrap/>
            <w:hideMark/>
          </w:tcPr>
          <w:p w14:paraId="2C16E4FE" w14:textId="77777777" w:rsidR="009D0DF1" w:rsidRPr="009D0DF1" w:rsidRDefault="009D0DF1" w:rsidP="009D0DF1">
            <w:pPr>
              <w:spacing w:before="16" w:after="16"/>
              <w:rPr>
                <w:rFonts w:cs="Times New Roman"/>
                <w:sz w:val="18"/>
                <w:szCs w:val="20"/>
              </w:rPr>
            </w:pPr>
            <w:r w:rsidRPr="009D0DF1">
              <w:rPr>
                <w:rFonts w:cs="Times New Roman"/>
                <w:sz w:val="18"/>
                <w:szCs w:val="20"/>
              </w:rPr>
              <w:t>Ambiental</w:t>
            </w:r>
          </w:p>
        </w:tc>
        <w:tc>
          <w:tcPr>
            <w:tcW w:w="3638" w:type="pct"/>
            <w:hideMark/>
          </w:tcPr>
          <w:p w14:paraId="055BAF21" w14:textId="77777777" w:rsidR="009D0DF1" w:rsidRPr="009D0DF1" w:rsidRDefault="009D0DF1" w:rsidP="009D0DF1">
            <w:pPr>
              <w:spacing w:before="16" w:after="16"/>
              <w:rPr>
                <w:rFonts w:cs="Times New Roman"/>
                <w:sz w:val="18"/>
                <w:szCs w:val="20"/>
              </w:rPr>
            </w:pPr>
            <w:r w:rsidRPr="009D0DF1">
              <w:rPr>
                <w:rFonts w:cs="Times New Roman"/>
                <w:sz w:val="18"/>
                <w:szCs w:val="20"/>
              </w:rPr>
              <w:t>Información Base (urbano y rural)</w:t>
            </w:r>
          </w:p>
        </w:tc>
      </w:tr>
      <w:tr w:rsidR="009D0DF1" w:rsidRPr="009D0DF1" w14:paraId="462FED93" w14:textId="77777777" w:rsidTr="000F1E4D">
        <w:trPr>
          <w:trHeight w:val="186"/>
        </w:trPr>
        <w:tc>
          <w:tcPr>
            <w:tcW w:w="1362" w:type="pct"/>
            <w:vMerge/>
            <w:hideMark/>
          </w:tcPr>
          <w:p w14:paraId="07D88084" w14:textId="77777777" w:rsidR="009D0DF1" w:rsidRPr="009D0DF1" w:rsidRDefault="009D0DF1" w:rsidP="009D0DF1">
            <w:pPr>
              <w:spacing w:before="16" w:after="16"/>
              <w:rPr>
                <w:rFonts w:cs="Times New Roman"/>
                <w:sz w:val="18"/>
                <w:szCs w:val="20"/>
              </w:rPr>
            </w:pPr>
          </w:p>
        </w:tc>
        <w:tc>
          <w:tcPr>
            <w:tcW w:w="3638" w:type="pct"/>
            <w:hideMark/>
          </w:tcPr>
          <w:p w14:paraId="17C6F19E" w14:textId="77777777" w:rsidR="009D0DF1" w:rsidRPr="009D0DF1" w:rsidRDefault="009D0DF1" w:rsidP="009D0DF1">
            <w:pPr>
              <w:spacing w:before="16" w:after="16"/>
              <w:rPr>
                <w:rFonts w:cs="Times New Roman"/>
                <w:sz w:val="18"/>
                <w:szCs w:val="20"/>
              </w:rPr>
            </w:pPr>
            <w:r w:rsidRPr="009D0DF1">
              <w:rPr>
                <w:rFonts w:cs="Times New Roman"/>
                <w:sz w:val="18"/>
                <w:szCs w:val="20"/>
              </w:rPr>
              <w:t>Zonificación climática (rural)</w:t>
            </w:r>
          </w:p>
        </w:tc>
      </w:tr>
      <w:tr w:rsidR="009D0DF1" w:rsidRPr="009D0DF1" w14:paraId="2962A02A" w14:textId="77777777" w:rsidTr="000F1E4D">
        <w:trPr>
          <w:trHeight w:val="315"/>
        </w:trPr>
        <w:tc>
          <w:tcPr>
            <w:tcW w:w="1362" w:type="pct"/>
            <w:vMerge/>
            <w:hideMark/>
          </w:tcPr>
          <w:p w14:paraId="37B9FC91" w14:textId="77777777" w:rsidR="009D0DF1" w:rsidRPr="009D0DF1" w:rsidRDefault="009D0DF1" w:rsidP="009D0DF1">
            <w:pPr>
              <w:spacing w:before="16" w:after="16"/>
              <w:rPr>
                <w:rFonts w:cs="Times New Roman"/>
                <w:sz w:val="18"/>
                <w:szCs w:val="20"/>
              </w:rPr>
            </w:pPr>
          </w:p>
        </w:tc>
        <w:tc>
          <w:tcPr>
            <w:tcW w:w="3638" w:type="pct"/>
            <w:hideMark/>
          </w:tcPr>
          <w:p w14:paraId="751B0A2F" w14:textId="77777777" w:rsidR="009D0DF1" w:rsidRPr="009D0DF1" w:rsidRDefault="009D0DF1" w:rsidP="009D0DF1">
            <w:pPr>
              <w:spacing w:before="16" w:after="16"/>
              <w:rPr>
                <w:rFonts w:cs="Times New Roman"/>
                <w:sz w:val="18"/>
                <w:szCs w:val="20"/>
              </w:rPr>
            </w:pPr>
            <w:r w:rsidRPr="009D0DF1">
              <w:rPr>
                <w:rFonts w:cs="Times New Roman"/>
                <w:sz w:val="18"/>
                <w:szCs w:val="20"/>
              </w:rPr>
              <w:t>Geología (rural)</w:t>
            </w:r>
          </w:p>
        </w:tc>
      </w:tr>
      <w:tr w:rsidR="009D0DF1" w:rsidRPr="009D0DF1" w14:paraId="20D44281" w14:textId="77777777" w:rsidTr="000F1E4D">
        <w:trPr>
          <w:trHeight w:val="342"/>
        </w:trPr>
        <w:tc>
          <w:tcPr>
            <w:tcW w:w="1362" w:type="pct"/>
            <w:vMerge/>
            <w:hideMark/>
          </w:tcPr>
          <w:p w14:paraId="47A74519" w14:textId="77777777" w:rsidR="009D0DF1" w:rsidRPr="009D0DF1" w:rsidRDefault="009D0DF1" w:rsidP="009D0DF1">
            <w:pPr>
              <w:spacing w:before="16" w:after="16"/>
              <w:rPr>
                <w:rFonts w:cs="Times New Roman"/>
                <w:sz w:val="18"/>
                <w:szCs w:val="20"/>
              </w:rPr>
            </w:pPr>
          </w:p>
        </w:tc>
        <w:tc>
          <w:tcPr>
            <w:tcW w:w="3638" w:type="pct"/>
            <w:hideMark/>
          </w:tcPr>
          <w:p w14:paraId="7712A1C0" w14:textId="77777777" w:rsidR="009D0DF1" w:rsidRPr="009D0DF1" w:rsidRDefault="009D0DF1" w:rsidP="009D0DF1">
            <w:pPr>
              <w:spacing w:before="16" w:after="16"/>
              <w:rPr>
                <w:rFonts w:cs="Times New Roman"/>
                <w:sz w:val="18"/>
                <w:szCs w:val="20"/>
              </w:rPr>
            </w:pPr>
            <w:r w:rsidRPr="009D0DF1">
              <w:rPr>
                <w:rFonts w:cs="Times New Roman"/>
                <w:sz w:val="18"/>
                <w:szCs w:val="20"/>
              </w:rPr>
              <w:t>Hidrografía y áreas hidrográficas (rural)</w:t>
            </w:r>
          </w:p>
        </w:tc>
      </w:tr>
      <w:tr w:rsidR="009D0DF1" w:rsidRPr="009D0DF1" w14:paraId="4839B30A" w14:textId="77777777" w:rsidTr="000F1E4D">
        <w:trPr>
          <w:trHeight w:val="60"/>
        </w:trPr>
        <w:tc>
          <w:tcPr>
            <w:tcW w:w="1362" w:type="pct"/>
            <w:vMerge/>
            <w:hideMark/>
          </w:tcPr>
          <w:p w14:paraId="0A081D2B" w14:textId="77777777" w:rsidR="009D0DF1" w:rsidRPr="009D0DF1" w:rsidRDefault="009D0DF1" w:rsidP="009D0DF1">
            <w:pPr>
              <w:spacing w:before="16" w:after="16"/>
              <w:rPr>
                <w:rFonts w:cs="Times New Roman"/>
                <w:sz w:val="18"/>
                <w:szCs w:val="20"/>
              </w:rPr>
            </w:pPr>
          </w:p>
        </w:tc>
        <w:tc>
          <w:tcPr>
            <w:tcW w:w="3638" w:type="pct"/>
            <w:hideMark/>
          </w:tcPr>
          <w:p w14:paraId="7453A6FA" w14:textId="77777777" w:rsidR="009D0DF1" w:rsidRPr="009D0DF1" w:rsidRDefault="009D0DF1" w:rsidP="009D0DF1">
            <w:pPr>
              <w:spacing w:before="16" w:after="16"/>
              <w:rPr>
                <w:rFonts w:cs="Times New Roman"/>
                <w:sz w:val="18"/>
                <w:szCs w:val="20"/>
              </w:rPr>
            </w:pPr>
            <w:r w:rsidRPr="009D0DF1">
              <w:rPr>
                <w:rFonts w:cs="Times New Roman"/>
                <w:sz w:val="18"/>
                <w:szCs w:val="20"/>
              </w:rPr>
              <w:t>Geomorfología (rural)</w:t>
            </w:r>
          </w:p>
        </w:tc>
      </w:tr>
      <w:tr w:rsidR="009D0DF1" w:rsidRPr="009D0DF1" w14:paraId="63E7FDF1" w14:textId="77777777" w:rsidTr="000F1E4D">
        <w:trPr>
          <w:trHeight w:val="315"/>
        </w:trPr>
        <w:tc>
          <w:tcPr>
            <w:tcW w:w="1362" w:type="pct"/>
            <w:vMerge/>
            <w:hideMark/>
          </w:tcPr>
          <w:p w14:paraId="689667F6" w14:textId="77777777" w:rsidR="009D0DF1" w:rsidRPr="009D0DF1" w:rsidRDefault="009D0DF1" w:rsidP="009D0DF1">
            <w:pPr>
              <w:spacing w:before="16" w:after="16"/>
              <w:rPr>
                <w:rFonts w:cs="Times New Roman"/>
                <w:sz w:val="18"/>
                <w:szCs w:val="20"/>
              </w:rPr>
            </w:pPr>
          </w:p>
        </w:tc>
        <w:tc>
          <w:tcPr>
            <w:tcW w:w="3638" w:type="pct"/>
            <w:hideMark/>
          </w:tcPr>
          <w:p w14:paraId="6D1F46B2" w14:textId="77777777" w:rsidR="009D0DF1" w:rsidRPr="009D0DF1" w:rsidRDefault="009D0DF1" w:rsidP="009D0DF1">
            <w:pPr>
              <w:spacing w:before="16" w:after="16"/>
              <w:rPr>
                <w:rFonts w:cs="Times New Roman"/>
                <w:sz w:val="18"/>
                <w:szCs w:val="20"/>
              </w:rPr>
            </w:pPr>
            <w:r w:rsidRPr="009D0DF1">
              <w:rPr>
                <w:rFonts w:cs="Times New Roman"/>
                <w:sz w:val="18"/>
                <w:szCs w:val="20"/>
              </w:rPr>
              <w:t>Pendientes (rural)</w:t>
            </w:r>
          </w:p>
        </w:tc>
      </w:tr>
      <w:tr w:rsidR="009D0DF1" w:rsidRPr="009D0DF1" w14:paraId="20E2AD90" w14:textId="77777777" w:rsidTr="000F1E4D">
        <w:trPr>
          <w:trHeight w:val="97"/>
        </w:trPr>
        <w:tc>
          <w:tcPr>
            <w:tcW w:w="1362" w:type="pct"/>
            <w:vMerge/>
            <w:hideMark/>
          </w:tcPr>
          <w:p w14:paraId="5605FA50" w14:textId="77777777" w:rsidR="009D0DF1" w:rsidRPr="009D0DF1" w:rsidRDefault="009D0DF1" w:rsidP="009D0DF1">
            <w:pPr>
              <w:spacing w:before="16" w:after="16"/>
              <w:rPr>
                <w:rFonts w:cs="Times New Roman"/>
                <w:sz w:val="18"/>
                <w:szCs w:val="20"/>
              </w:rPr>
            </w:pPr>
          </w:p>
        </w:tc>
        <w:tc>
          <w:tcPr>
            <w:tcW w:w="3638" w:type="pct"/>
            <w:hideMark/>
          </w:tcPr>
          <w:p w14:paraId="3E60C141" w14:textId="77777777" w:rsidR="009D0DF1" w:rsidRPr="009D0DF1" w:rsidRDefault="009D0DF1" w:rsidP="009D0DF1">
            <w:pPr>
              <w:spacing w:before="16" w:after="16"/>
              <w:rPr>
                <w:rFonts w:cs="Times New Roman"/>
                <w:sz w:val="18"/>
                <w:szCs w:val="20"/>
              </w:rPr>
            </w:pPr>
            <w:r w:rsidRPr="009D0DF1">
              <w:rPr>
                <w:rFonts w:cs="Times New Roman"/>
                <w:sz w:val="18"/>
                <w:szCs w:val="20"/>
              </w:rPr>
              <w:t>Capacidad de uso del suelo (rural)</w:t>
            </w:r>
          </w:p>
        </w:tc>
      </w:tr>
      <w:tr w:rsidR="009D0DF1" w:rsidRPr="009D0DF1" w14:paraId="13C48F37" w14:textId="77777777" w:rsidTr="000F1E4D">
        <w:trPr>
          <w:trHeight w:val="299"/>
        </w:trPr>
        <w:tc>
          <w:tcPr>
            <w:tcW w:w="1362" w:type="pct"/>
            <w:vMerge/>
            <w:hideMark/>
          </w:tcPr>
          <w:p w14:paraId="332923B6" w14:textId="77777777" w:rsidR="009D0DF1" w:rsidRPr="009D0DF1" w:rsidRDefault="009D0DF1" w:rsidP="009D0DF1">
            <w:pPr>
              <w:spacing w:before="16" w:after="16"/>
              <w:rPr>
                <w:rFonts w:cs="Times New Roman"/>
                <w:sz w:val="18"/>
                <w:szCs w:val="20"/>
              </w:rPr>
            </w:pPr>
          </w:p>
        </w:tc>
        <w:tc>
          <w:tcPr>
            <w:tcW w:w="3638" w:type="pct"/>
            <w:hideMark/>
          </w:tcPr>
          <w:p w14:paraId="4C4BD203" w14:textId="77777777" w:rsidR="009D0DF1" w:rsidRPr="009D0DF1" w:rsidRDefault="009D0DF1" w:rsidP="009D0DF1">
            <w:pPr>
              <w:spacing w:before="16" w:after="16"/>
              <w:rPr>
                <w:rFonts w:cs="Times New Roman"/>
                <w:sz w:val="18"/>
                <w:szCs w:val="20"/>
              </w:rPr>
            </w:pPr>
            <w:r w:rsidRPr="009D0DF1">
              <w:rPr>
                <w:rFonts w:cs="Times New Roman"/>
                <w:sz w:val="18"/>
                <w:szCs w:val="20"/>
              </w:rPr>
              <w:t>Cobertura y uso actual del suelo (rural) (Deberá obtenerse mediante el uso de la metodología Corine Land Cover)</w:t>
            </w:r>
          </w:p>
        </w:tc>
      </w:tr>
      <w:tr w:rsidR="009D0DF1" w:rsidRPr="009D0DF1" w14:paraId="0963D984" w14:textId="77777777" w:rsidTr="000F1E4D">
        <w:trPr>
          <w:trHeight w:val="155"/>
        </w:trPr>
        <w:tc>
          <w:tcPr>
            <w:tcW w:w="1362" w:type="pct"/>
            <w:vMerge/>
            <w:hideMark/>
          </w:tcPr>
          <w:p w14:paraId="76B6E773" w14:textId="77777777" w:rsidR="009D0DF1" w:rsidRPr="009D0DF1" w:rsidRDefault="009D0DF1" w:rsidP="009D0DF1">
            <w:pPr>
              <w:spacing w:before="16" w:after="16"/>
              <w:rPr>
                <w:rFonts w:cs="Times New Roman"/>
                <w:sz w:val="18"/>
                <w:szCs w:val="20"/>
              </w:rPr>
            </w:pPr>
          </w:p>
        </w:tc>
        <w:tc>
          <w:tcPr>
            <w:tcW w:w="3638" w:type="pct"/>
            <w:hideMark/>
          </w:tcPr>
          <w:p w14:paraId="61DA2900" w14:textId="77777777" w:rsidR="009D0DF1" w:rsidRPr="009D0DF1" w:rsidRDefault="009D0DF1" w:rsidP="009D0DF1">
            <w:pPr>
              <w:spacing w:before="16" w:after="16"/>
              <w:rPr>
                <w:rFonts w:cs="Times New Roman"/>
                <w:sz w:val="18"/>
                <w:szCs w:val="20"/>
              </w:rPr>
            </w:pPr>
            <w:r w:rsidRPr="009D0DF1">
              <w:rPr>
                <w:rFonts w:cs="Times New Roman"/>
                <w:sz w:val="18"/>
                <w:szCs w:val="20"/>
              </w:rPr>
              <w:t>Uso potencial del suelo (rural)</w:t>
            </w:r>
          </w:p>
        </w:tc>
      </w:tr>
      <w:tr w:rsidR="009D0DF1" w:rsidRPr="009D0DF1" w14:paraId="678C75FB" w14:textId="77777777" w:rsidTr="000F1E4D">
        <w:trPr>
          <w:trHeight w:val="74"/>
        </w:trPr>
        <w:tc>
          <w:tcPr>
            <w:tcW w:w="1362" w:type="pct"/>
            <w:vMerge/>
            <w:hideMark/>
          </w:tcPr>
          <w:p w14:paraId="569C61BC" w14:textId="77777777" w:rsidR="009D0DF1" w:rsidRPr="009D0DF1" w:rsidRDefault="009D0DF1" w:rsidP="009D0DF1">
            <w:pPr>
              <w:spacing w:before="16" w:after="16"/>
              <w:rPr>
                <w:rFonts w:cs="Times New Roman"/>
                <w:sz w:val="18"/>
                <w:szCs w:val="20"/>
              </w:rPr>
            </w:pPr>
          </w:p>
        </w:tc>
        <w:tc>
          <w:tcPr>
            <w:tcW w:w="3638" w:type="pct"/>
            <w:hideMark/>
          </w:tcPr>
          <w:p w14:paraId="485E5FC2" w14:textId="77777777" w:rsidR="009D0DF1" w:rsidRPr="009D0DF1" w:rsidRDefault="009D0DF1" w:rsidP="009D0DF1">
            <w:pPr>
              <w:spacing w:before="16" w:after="16"/>
              <w:rPr>
                <w:rFonts w:cs="Times New Roman"/>
                <w:sz w:val="18"/>
                <w:szCs w:val="20"/>
              </w:rPr>
            </w:pPr>
            <w:r w:rsidRPr="009D0DF1">
              <w:rPr>
                <w:rFonts w:cs="Times New Roman"/>
                <w:sz w:val="18"/>
                <w:szCs w:val="20"/>
              </w:rPr>
              <w:t>Conflictos de uso del suelo (urbano y rural)</w:t>
            </w:r>
          </w:p>
        </w:tc>
      </w:tr>
      <w:tr w:rsidR="009D0DF1" w:rsidRPr="009D0DF1" w14:paraId="442D923A" w14:textId="77777777" w:rsidTr="000F1E4D">
        <w:trPr>
          <w:trHeight w:val="264"/>
        </w:trPr>
        <w:tc>
          <w:tcPr>
            <w:tcW w:w="1362" w:type="pct"/>
            <w:vMerge/>
            <w:hideMark/>
          </w:tcPr>
          <w:p w14:paraId="12971C97" w14:textId="77777777" w:rsidR="009D0DF1" w:rsidRPr="009D0DF1" w:rsidRDefault="009D0DF1" w:rsidP="009D0DF1">
            <w:pPr>
              <w:spacing w:before="16" w:after="16"/>
              <w:rPr>
                <w:rFonts w:cs="Times New Roman"/>
                <w:sz w:val="18"/>
                <w:szCs w:val="20"/>
              </w:rPr>
            </w:pPr>
          </w:p>
        </w:tc>
        <w:tc>
          <w:tcPr>
            <w:tcW w:w="3638" w:type="pct"/>
            <w:hideMark/>
          </w:tcPr>
          <w:p w14:paraId="4A3090BD" w14:textId="77777777" w:rsidR="009D0DF1" w:rsidRPr="009D0DF1" w:rsidRDefault="009D0DF1" w:rsidP="009D0DF1">
            <w:pPr>
              <w:spacing w:before="16" w:after="16"/>
              <w:rPr>
                <w:rFonts w:cs="Times New Roman"/>
                <w:sz w:val="18"/>
                <w:szCs w:val="20"/>
              </w:rPr>
            </w:pPr>
            <w:r w:rsidRPr="009D0DF1">
              <w:rPr>
                <w:rFonts w:cs="Times New Roman"/>
                <w:sz w:val="18"/>
                <w:szCs w:val="20"/>
              </w:rPr>
              <w:t>Áreas de conservación y protección ambiental. (urbano y rural)</w:t>
            </w:r>
          </w:p>
        </w:tc>
      </w:tr>
      <w:tr w:rsidR="009D0DF1" w:rsidRPr="009D0DF1" w14:paraId="0E4784E8" w14:textId="77777777" w:rsidTr="000F1E4D">
        <w:trPr>
          <w:trHeight w:val="415"/>
        </w:trPr>
        <w:tc>
          <w:tcPr>
            <w:tcW w:w="1362" w:type="pct"/>
            <w:vMerge/>
            <w:hideMark/>
          </w:tcPr>
          <w:p w14:paraId="234FA6AB" w14:textId="77777777" w:rsidR="009D0DF1" w:rsidRPr="009D0DF1" w:rsidRDefault="009D0DF1" w:rsidP="009D0DF1">
            <w:pPr>
              <w:spacing w:before="16" w:after="16"/>
              <w:rPr>
                <w:rFonts w:cs="Times New Roman"/>
                <w:sz w:val="18"/>
                <w:szCs w:val="20"/>
              </w:rPr>
            </w:pPr>
          </w:p>
        </w:tc>
        <w:tc>
          <w:tcPr>
            <w:tcW w:w="3638" w:type="pct"/>
            <w:hideMark/>
          </w:tcPr>
          <w:p w14:paraId="41B9C1AB" w14:textId="77777777" w:rsidR="009D0DF1" w:rsidRPr="009D0DF1" w:rsidRDefault="009D0DF1" w:rsidP="009D0DF1">
            <w:pPr>
              <w:spacing w:before="16" w:after="16"/>
              <w:rPr>
                <w:rFonts w:cs="Times New Roman"/>
                <w:sz w:val="18"/>
                <w:szCs w:val="20"/>
              </w:rPr>
            </w:pPr>
            <w:r w:rsidRPr="009D0DF1">
              <w:rPr>
                <w:rFonts w:cs="Times New Roman"/>
                <w:sz w:val="18"/>
                <w:szCs w:val="20"/>
              </w:rPr>
              <w:t>Amenazas (en cumplimiento de lo dispuesto en la sección 3, subsección 1 del presente capítulo)</w:t>
            </w:r>
          </w:p>
        </w:tc>
      </w:tr>
      <w:tr w:rsidR="009D0DF1" w:rsidRPr="009D0DF1" w14:paraId="656DDD89" w14:textId="77777777" w:rsidTr="000F1E4D">
        <w:trPr>
          <w:trHeight w:val="115"/>
        </w:trPr>
        <w:tc>
          <w:tcPr>
            <w:tcW w:w="1362" w:type="pct"/>
            <w:noWrap/>
            <w:hideMark/>
          </w:tcPr>
          <w:p w14:paraId="68C26C34" w14:textId="77777777" w:rsidR="009D0DF1" w:rsidRPr="009D0DF1" w:rsidRDefault="009D0DF1" w:rsidP="009D0DF1">
            <w:pPr>
              <w:spacing w:before="16" w:after="16"/>
              <w:rPr>
                <w:rFonts w:cs="Times New Roman"/>
                <w:sz w:val="18"/>
                <w:szCs w:val="20"/>
              </w:rPr>
            </w:pPr>
            <w:r w:rsidRPr="009D0DF1">
              <w:rPr>
                <w:rFonts w:cs="Times New Roman"/>
                <w:sz w:val="18"/>
                <w:szCs w:val="20"/>
              </w:rPr>
              <w:t>Económica</w:t>
            </w:r>
          </w:p>
        </w:tc>
        <w:tc>
          <w:tcPr>
            <w:tcW w:w="3638" w:type="pct"/>
            <w:hideMark/>
          </w:tcPr>
          <w:p w14:paraId="05BE0260" w14:textId="77777777" w:rsidR="009D0DF1" w:rsidRPr="009D0DF1" w:rsidRDefault="009D0DF1" w:rsidP="009D0DF1">
            <w:pPr>
              <w:spacing w:before="16" w:after="16"/>
              <w:rPr>
                <w:rFonts w:cs="Times New Roman"/>
                <w:sz w:val="18"/>
                <w:szCs w:val="20"/>
              </w:rPr>
            </w:pPr>
            <w:r w:rsidRPr="009D0DF1">
              <w:rPr>
                <w:rFonts w:cs="Times New Roman"/>
                <w:sz w:val="18"/>
                <w:szCs w:val="20"/>
              </w:rPr>
              <w:t>Predial (urbano y rural)</w:t>
            </w:r>
          </w:p>
        </w:tc>
      </w:tr>
      <w:tr w:rsidR="009D0DF1" w:rsidRPr="009D0DF1" w14:paraId="52BDC10B" w14:textId="77777777" w:rsidTr="000F1E4D">
        <w:trPr>
          <w:trHeight w:val="60"/>
        </w:trPr>
        <w:tc>
          <w:tcPr>
            <w:tcW w:w="1362" w:type="pct"/>
            <w:noWrap/>
            <w:hideMark/>
          </w:tcPr>
          <w:p w14:paraId="42D8C79B" w14:textId="77777777" w:rsidR="009D0DF1" w:rsidRPr="009D0DF1" w:rsidRDefault="009D0DF1" w:rsidP="009D0DF1">
            <w:pPr>
              <w:spacing w:before="16" w:after="16"/>
              <w:rPr>
                <w:rFonts w:cs="Times New Roman"/>
                <w:sz w:val="18"/>
                <w:szCs w:val="20"/>
              </w:rPr>
            </w:pPr>
            <w:r w:rsidRPr="009D0DF1">
              <w:rPr>
                <w:rFonts w:cs="Times New Roman"/>
                <w:sz w:val="18"/>
                <w:szCs w:val="20"/>
              </w:rPr>
              <w:t>Sociocultural</w:t>
            </w:r>
          </w:p>
        </w:tc>
        <w:tc>
          <w:tcPr>
            <w:tcW w:w="3638" w:type="pct"/>
            <w:hideMark/>
          </w:tcPr>
          <w:p w14:paraId="116E624C" w14:textId="77777777" w:rsidR="009D0DF1" w:rsidRPr="009D0DF1" w:rsidRDefault="009D0DF1" w:rsidP="009D0DF1">
            <w:pPr>
              <w:spacing w:before="16" w:after="16"/>
              <w:rPr>
                <w:rFonts w:cs="Times New Roman"/>
                <w:sz w:val="18"/>
                <w:szCs w:val="20"/>
              </w:rPr>
            </w:pPr>
            <w:r w:rsidRPr="009D0DF1">
              <w:rPr>
                <w:rFonts w:cs="Times New Roman"/>
                <w:sz w:val="18"/>
                <w:szCs w:val="20"/>
              </w:rPr>
              <w:t>Territorios étnicos (si existen)</w:t>
            </w:r>
          </w:p>
        </w:tc>
      </w:tr>
      <w:tr w:rsidR="009D0DF1" w:rsidRPr="009D0DF1" w14:paraId="61DB9C38" w14:textId="77777777" w:rsidTr="000F1E4D">
        <w:trPr>
          <w:trHeight w:val="315"/>
        </w:trPr>
        <w:tc>
          <w:tcPr>
            <w:tcW w:w="1362" w:type="pct"/>
            <w:vMerge w:val="restart"/>
            <w:hideMark/>
          </w:tcPr>
          <w:p w14:paraId="54A3AF1E" w14:textId="77777777" w:rsidR="009D0DF1" w:rsidRPr="009D0DF1" w:rsidRDefault="009D0DF1" w:rsidP="009D0DF1">
            <w:pPr>
              <w:spacing w:before="16" w:after="16"/>
              <w:rPr>
                <w:rFonts w:cs="Times New Roman"/>
                <w:sz w:val="18"/>
                <w:szCs w:val="20"/>
              </w:rPr>
            </w:pPr>
            <w:r w:rsidRPr="009D0DF1">
              <w:rPr>
                <w:rFonts w:cs="Times New Roman"/>
                <w:sz w:val="18"/>
                <w:szCs w:val="20"/>
              </w:rPr>
              <w:t>Funcional</w:t>
            </w:r>
          </w:p>
        </w:tc>
        <w:tc>
          <w:tcPr>
            <w:tcW w:w="3638" w:type="pct"/>
            <w:hideMark/>
          </w:tcPr>
          <w:p w14:paraId="2681EFDC" w14:textId="77777777" w:rsidR="009D0DF1" w:rsidRPr="009D0DF1" w:rsidRDefault="009D0DF1" w:rsidP="009D0DF1">
            <w:pPr>
              <w:spacing w:before="16" w:after="16"/>
              <w:rPr>
                <w:rFonts w:cs="Times New Roman"/>
                <w:sz w:val="18"/>
                <w:szCs w:val="20"/>
              </w:rPr>
            </w:pPr>
            <w:r w:rsidRPr="009D0DF1">
              <w:rPr>
                <w:rFonts w:cs="Times New Roman"/>
                <w:sz w:val="18"/>
                <w:szCs w:val="20"/>
              </w:rPr>
              <w:t>Ocupación actual</w:t>
            </w:r>
          </w:p>
        </w:tc>
      </w:tr>
      <w:tr w:rsidR="009D0DF1" w:rsidRPr="009D0DF1" w14:paraId="50ED144B" w14:textId="77777777" w:rsidTr="000F1E4D">
        <w:trPr>
          <w:trHeight w:val="60"/>
        </w:trPr>
        <w:tc>
          <w:tcPr>
            <w:tcW w:w="1362" w:type="pct"/>
            <w:vMerge/>
            <w:hideMark/>
          </w:tcPr>
          <w:p w14:paraId="4104ED41" w14:textId="77777777" w:rsidR="009D0DF1" w:rsidRPr="009D0DF1" w:rsidRDefault="009D0DF1" w:rsidP="009D0DF1">
            <w:pPr>
              <w:spacing w:before="16" w:after="16"/>
              <w:rPr>
                <w:rFonts w:cs="Times New Roman"/>
                <w:sz w:val="18"/>
                <w:szCs w:val="20"/>
              </w:rPr>
            </w:pPr>
          </w:p>
        </w:tc>
        <w:tc>
          <w:tcPr>
            <w:tcW w:w="3638" w:type="pct"/>
            <w:hideMark/>
          </w:tcPr>
          <w:p w14:paraId="750EB971" w14:textId="77777777" w:rsidR="009D0DF1" w:rsidRPr="009D0DF1" w:rsidRDefault="009D0DF1" w:rsidP="009D0DF1">
            <w:pPr>
              <w:spacing w:before="16" w:after="16"/>
              <w:rPr>
                <w:rFonts w:cs="Times New Roman"/>
                <w:sz w:val="18"/>
                <w:szCs w:val="20"/>
              </w:rPr>
            </w:pPr>
            <w:r w:rsidRPr="009D0DF1">
              <w:rPr>
                <w:rFonts w:cs="Times New Roman"/>
                <w:sz w:val="18"/>
                <w:szCs w:val="20"/>
              </w:rPr>
              <w:t>División Político Administrativa (urbano y rural)</w:t>
            </w:r>
          </w:p>
        </w:tc>
      </w:tr>
      <w:tr w:rsidR="009D0DF1" w:rsidRPr="009D0DF1" w14:paraId="3AC2D176" w14:textId="77777777" w:rsidTr="000F1E4D">
        <w:trPr>
          <w:trHeight w:val="192"/>
        </w:trPr>
        <w:tc>
          <w:tcPr>
            <w:tcW w:w="1362" w:type="pct"/>
            <w:vMerge/>
            <w:hideMark/>
          </w:tcPr>
          <w:p w14:paraId="32305EFC" w14:textId="77777777" w:rsidR="009D0DF1" w:rsidRPr="009D0DF1" w:rsidRDefault="009D0DF1" w:rsidP="009D0DF1">
            <w:pPr>
              <w:spacing w:before="16" w:after="16"/>
              <w:rPr>
                <w:rFonts w:cs="Times New Roman"/>
                <w:sz w:val="18"/>
                <w:szCs w:val="20"/>
              </w:rPr>
            </w:pPr>
          </w:p>
        </w:tc>
        <w:tc>
          <w:tcPr>
            <w:tcW w:w="3638" w:type="pct"/>
            <w:hideMark/>
          </w:tcPr>
          <w:p w14:paraId="04B8A5F1" w14:textId="77777777" w:rsidR="009D0DF1" w:rsidRPr="009D0DF1" w:rsidRDefault="009D0DF1" w:rsidP="009D0DF1">
            <w:pPr>
              <w:spacing w:before="16" w:after="16"/>
              <w:rPr>
                <w:rFonts w:cs="Times New Roman"/>
                <w:sz w:val="18"/>
                <w:szCs w:val="20"/>
              </w:rPr>
            </w:pPr>
            <w:r w:rsidRPr="009D0DF1">
              <w:rPr>
                <w:rFonts w:cs="Times New Roman"/>
                <w:sz w:val="18"/>
                <w:szCs w:val="20"/>
              </w:rPr>
              <w:t>Patrimonio Material (urbano y rural)</w:t>
            </w:r>
          </w:p>
        </w:tc>
      </w:tr>
      <w:tr w:rsidR="009D0DF1" w:rsidRPr="009D0DF1" w14:paraId="0ABE0783" w14:textId="77777777" w:rsidTr="000F1E4D">
        <w:trPr>
          <w:trHeight w:val="240"/>
        </w:trPr>
        <w:tc>
          <w:tcPr>
            <w:tcW w:w="1362" w:type="pct"/>
            <w:vMerge/>
            <w:hideMark/>
          </w:tcPr>
          <w:p w14:paraId="5EEA7D92" w14:textId="77777777" w:rsidR="009D0DF1" w:rsidRPr="009D0DF1" w:rsidRDefault="009D0DF1" w:rsidP="009D0DF1">
            <w:pPr>
              <w:spacing w:before="16" w:after="16"/>
              <w:rPr>
                <w:rFonts w:cs="Times New Roman"/>
                <w:sz w:val="18"/>
                <w:szCs w:val="20"/>
              </w:rPr>
            </w:pPr>
          </w:p>
        </w:tc>
        <w:tc>
          <w:tcPr>
            <w:tcW w:w="3638" w:type="pct"/>
            <w:hideMark/>
          </w:tcPr>
          <w:p w14:paraId="64E044D8" w14:textId="77777777" w:rsidR="009D0DF1" w:rsidRPr="009D0DF1" w:rsidRDefault="009D0DF1" w:rsidP="009D0DF1">
            <w:pPr>
              <w:spacing w:before="16" w:after="16"/>
              <w:rPr>
                <w:rFonts w:cs="Times New Roman"/>
                <w:sz w:val="18"/>
                <w:szCs w:val="20"/>
              </w:rPr>
            </w:pPr>
            <w:r w:rsidRPr="009D0DF1">
              <w:rPr>
                <w:rFonts w:cs="Times New Roman"/>
                <w:sz w:val="18"/>
                <w:szCs w:val="20"/>
              </w:rPr>
              <w:t>Equipamientos existentes (urbano y rural)</w:t>
            </w:r>
          </w:p>
        </w:tc>
      </w:tr>
      <w:tr w:rsidR="009D0DF1" w:rsidRPr="009D0DF1" w14:paraId="12D34AC0" w14:textId="77777777" w:rsidTr="000F1E4D">
        <w:trPr>
          <w:trHeight w:val="60"/>
        </w:trPr>
        <w:tc>
          <w:tcPr>
            <w:tcW w:w="1362" w:type="pct"/>
            <w:vMerge/>
            <w:hideMark/>
          </w:tcPr>
          <w:p w14:paraId="3732D56D" w14:textId="77777777" w:rsidR="009D0DF1" w:rsidRPr="009D0DF1" w:rsidRDefault="009D0DF1" w:rsidP="009D0DF1">
            <w:pPr>
              <w:spacing w:before="16" w:after="16"/>
              <w:rPr>
                <w:rFonts w:cs="Times New Roman"/>
                <w:sz w:val="18"/>
                <w:szCs w:val="20"/>
              </w:rPr>
            </w:pPr>
          </w:p>
        </w:tc>
        <w:tc>
          <w:tcPr>
            <w:tcW w:w="3638" w:type="pct"/>
            <w:hideMark/>
          </w:tcPr>
          <w:p w14:paraId="34329037" w14:textId="77777777" w:rsidR="009D0DF1" w:rsidRPr="009D0DF1" w:rsidRDefault="009D0DF1" w:rsidP="009D0DF1">
            <w:pPr>
              <w:spacing w:before="16" w:after="16"/>
              <w:rPr>
                <w:rFonts w:cs="Times New Roman"/>
                <w:sz w:val="18"/>
                <w:szCs w:val="20"/>
              </w:rPr>
            </w:pPr>
            <w:r w:rsidRPr="009D0DF1">
              <w:rPr>
                <w:rFonts w:cs="Times New Roman"/>
                <w:sz w:val="18"/>
                <w:szCs w:val="20"/>
              </w:rPr>
              <w:t>Espacio público existente (urbano y rural)</w:t>
            </w:r>
          </w:p>
        </w:tc>
      </w:tr>
      <w:tr w:rsidR="009D0DF1" w:rsidRPr="009D0DF1" w14:paraId="47D6C407" w14:textId="77777777" w:rsidTr="000F1E4D">
        <w:trPr>
          <w:trHeight w:val="66"/>
        </w:trPr>
        <w:tc>
          <w:tcPr>
            <w:tcW w:w="1362" w:type="pct"/>
            <w:vMerge/>
            <w:hideMark/>
          </w:tcPr>
          <w:p w14:paraId="4EE76724" w14:textId="77777777" w:rsidR="009D0DF1" w:rsidRPr="009D0DF1" w:rsidRDefault="009D0DF1" w:rsidP="009D0DF1">
            <w:pPr>
              <w:spacing w:before="16" w:after="16"/>
              <w:rPr>
                <w:rFonts w:cs="Times New Roman"/>
                <w:sz w:val="18"/>
                <w:szCs w:val="20"/>
              </w:rPr>
            </w:pPr>
          </w:p>
        </w:tc>
        <w:tc>
          <w:tcPr>
            <w:tcW w:w="3638" w:type="pct"/>
            <w:hideMark/>
          </w:tcPr>
          <w:p w14:paraId="1E6C9D2F" w14:textId="77777777" w:rsidR="009D0DF1" w:rsidRPr="009D0DF1" w:rsidRDefault="009D0DF1" w:rsidP="009D0DF1">
            <w:pPr>
              <w:spacing w:before="16" w:after="16"/>
              <w:rPr>
                <w:rFonts w:cs="Times New Roman"/>
                <w:sz w:val="18"/>
                <w:szCs w:val="20"/>
              </w:rPr>
            </w:pPr>
            <w:r w:rsidRPr="009D0DF1">
              <w:rPr>
                <w:rFonts w:cs="Times New Roman"/>
                <w:sz w:val="18"/>
                <w:szCs w:val="20"/>
              </w:rPr>
              <w:t>Infraestructura vial y de transporte (urbano y rural)</w:t>
            </w:r>
          </w:p>
        </w:tc>
      </w:tr>
      <w:tr w:rsidR="009D0DF1" w:rsidRPr="009D0DF1" w14:paraId="03798FD4" w14:textId="77777777" w:rsidTr="000F1E4D">
        <w:trPr>
          <w:trHeight w:val="60"/>
        </w:trPr>
        <w:tc>
          <w:tcPr>
            <w:tcW w:w="1362" w:type="pct"/>
            <w:vMerge/>
            <w:hideMark/>
          </w:tcPr>
          <w:p w14:paraId="152B23FA" w14:textId="77777777" w:rsidR="009D0DF1" w:rsidRPr="009D0DF1" w:rsidRDefault="009D0DF1" w:rsidP="009D0DF1">
            <w:pPr>
              <w:spacing w:before="16" w:after="16"/>
              <w:rPr>
                <w:rFonts w:cs="Times New Roman"/>
                <w:sz w:val="18"/>
                <w:szCs w:val="20"/>
              </w:rPr>
            </w:pPr>
          </w:p>
        </w:tc>
        <w:tc>
          <w:tcPr>
            <w:tcW w:w="3638" w:type="pct"/>
            <w:hideMark/>
          </w:tcPr>
          <w:p w14:paraId="330FE2B9" w14:textId="77777777" w:rsidR="009D0DF1" w:rsidRPr="009D0DF1" w:rsidRDefault="009D0DF1" w:rsidP="009D0DF1">
            <w:pPr>
              <w:spacing w:before="16" w:after="16"/>
              <w:rPr>
                <w:rFonts w:cs="Times New Roman"/>
                <w:sz w:val="18"/>
                <w:szCs w:val="20"/>
              </w:rPr>
            </w:pPr>
            <w:r w:rsidRPr="009D0DF1">
              <w:rPr>
                <w:rFonts w:cs="Times New Roman"/>
                <w:sz w:val="18"/>
                <w:szCs w:val="20"/>
              </w:rPr>
              <w:t>Centros poblados con la caracterización físico espacial (vías, equipamientos, espacio público, Servicios Públicos)</w:t>
            </w:r>
          </w:p>
        </w:tc>
      </w:tr>
      <w:tr w:rsidR="009D0DF1" w:rsidRPr="009D0DF1" w14:paraId="2160CDC2" w14:textId="77777777" w:rsidTr="000F1E4D">
        <w:trPr>
          <w:trHeight w:val="315"/>
        </w:trPr>
        <w:tc>
          <w:tcPr>
            <w:tcW w:w="1362" w:type="pct"/>
            <w:vMerge/>
            <w:hideMark/>
          </w:tcPr>
          <w:p w14:paraId="698F6977" w14:textId="77777777" w:rsidR="009D0DF1" w:rsidRPr="009D0DF1" w:rsidRDefault="009D0DF1" w:rsidP="009D0DF1">
            <w:pPr>
              <w:spacing w:before="16" w:after="16"/>
              <w:rPr>
                <w:rFonts w:cs="Times New Roman"/>
                <w:sz w:val="18"/>
                <w:szCs w:val="20"/>
              </w:rPr>
            </w:pPr>
          </w:p>
        </w:tc>
        <w:tc>
          <w:tcPr>
            <w:tcW w:w="3638" w:type="pct"/>
            <w:noWrap/>
            <w:hideMark/>
          </w:tcPr>
          <w:p w14:paraId="3DCDF5F0" w14:textId="77777777" w:rsidR="009D0DF1" w:rsidRPr="009D0DF1" w:rsidRDefault="009D0DF1" w:rsidP="009D0DF1">
            <w:pPr>
              <w:spacing w:before="16" w:after="16"/>
              <w:rPr>
                <w:rFonts w:cs="Times New Roman"/>
                <w:sz w:val="18"/>
                <w:szCs w:val="20"/>
              </w:rPr>
            </w:pPr>
            <w:r w:rsidRPr="009D0DF1">
              <w:rPr>
                <w:rFonts w:cs="Times New Roman"/>
                <w:sz w:val="18"/>
                <w:szCs w:val="20"/>
              </w:rPr>
              <w:t>Servicios públicos (urbano y rural)</w:t>
            </w:r>
          </w:p>
        </w:tc>
      </w:tr>
      <w:tr w:rsidR="009D0DF1" w:rsidRPr="009D0DF1" w14:paraId="54EDF22E" w14:textId="77777777" w:rsidTr="000F1E4D">
        <w:trPr>
          <w:trHeight w:val="315"/>
        </w:trPr>
        <w:tc>
          <w:tcPr>
            <w:tcW w:w="1362" w:type="pct"/>
            <w:vMerge/>
            <w:hideMark/>
          </w:tcPr>
          <w:p w14:paraId="19C24F97" w14:textId="77777777" w:rsidR="009D0DF1" w:rsidRPr="009D0DF1" w:rsidRDefault="009D0DF1" w:rsidP="009D0DF1">
            <w:pPr>
              <w:spacing w:before="16" w:after="16"/>
              <w:rPr>
                <w:rFonts w:cs="Times New Roman"/>
                <w:sz w:val="18"/>
                <w:szCs w:val="20"/>
              </w:rPr>
            </w:pPr>
          </w:p>
        </w:tc>
        <w:tc>
          <w:tcPr>
            <w:tcW w:w="3638" w:type="pct"/>
            <w:noWrap/>
            <w:hideMark/>
          </w:tcPr>
          <w:p w14:paraId="4E740B9A" w14:textId="77777777" w:rsidR="009D0DF1" w:rsidRPr="009D0DF1" w:rsidRDefault="009D0DF1" w:rsidP="009D0DF1">
            <w:pPr>
              <w:spacing w:before="16" w:after="16"/>
              <w:rPr>
                <w:rFonts w:cs="Times New Roman"/>
                <w:sz w:val="18"/>
                <w:szCs w:val="20"/>
              </w:rPr>
            </w:pPr>
            <w:r w:rsidRPr="009D0DF1">
              <w:rPr>
                <w:rFonts w:cs="Times New Roman"/>
                <w:sz w:val="18"/>
                <w:szCs w:val="20"/>
              </w:rPr>
              <w:t>Perímetro de servicios públicos</w:t>
            </w:r>
          </w:p>
        </w:tc>
      </w:tr>
      <w:tr w:rsidR="009D0DF1" w:rsidRPr="009D0DF1" w14:paraId="62F17220" w14:textId="77777777" w:rsidTr="000F1E4D">
        <w:trPr>
          <w:trHeight w:val="315"/>
        </w:trPr>
        <w:tc>
          <w:tcPr>
            <w:tcW w:w="1362" w:type="pct"/>
            <w:vMerge/>
            <w:hideMark/>
          </w:tcPr>
          <w:p w14:paraId="4770A361" w14:textId="77777777" w:rsidR="009D0DF1" w:rsidRPr="009D0DF1" w:rsidRDefault="009D0DF1" w:rsidP="009D0DF1">
            <w:pPr>
              <w:spacing w:before="16" w:after="16"/>
              <w:rPr>
                <w:rFonts w:cs="Times New Roman"/>
                <w:sz w:val="18"/>
                <w:szCs w:val="20"/>
              </w:rPr>
            </w:pPr>
          </w:p>
        </w:tc>
        <w:tc>
          <w:tcPr>
            <w:tcW w:w="3638" w:type="pct"/>
            <w:noWrap/>
            <w:hideMark/>
          </w:tcPr>
          <w:p w14:paraId="4738A3D1" w14:textId="77777777" w:rsidR="009D0DF1" w:rsidRPr="009D0DF1" w:rsidRDefault="009D0DF1" w:rsidP="009D0DF1">
            <w:pPr>
              <w:spacing w:before="16" w:after="16"/>
              <w:rPr>
                <w:rFonts w:cs="Times New Roman"/>
                <w:sz w:val="18"/>
                <w:szCs w:val="20"/>
              </w:rPr>
            </w:pPr>
            <w:r w:rsidRPr="009D0DF1">
              <w:rPr>
                <w:rFonts w:cs="Times New Roman"/>
                <w:sz w:val="18"/>
                <w:szCs w:val="20"/>
              </w:rPr>
              <w:t>Análisis del crecimiento urbano</w:t>
            </w:r>
          </w:p>
        </w:tc>
      </w:tr>
      <w:tr w:rsidR="009D0DF1" w:rsidRPr="009D0DF1" w14:paraId="15B58300" w14:textId="77777777" w:rsidTr="000F1E4D">
        <w:trPr>
          <w:trHeight w:val="315"/>
        </w:trPr>
        <w:tc>
          <w:tcPr>
            <w:tcW w:w="1362" w:type="pct"/>
            <w:vMerge/>
            <w:hideMark/>
          </w:tcPr>
          <w:p w14:paraId="63B4105C" w14:textId="77777777" w:rsidR="009D0DF1" w:rsidRPr="009D0DF1" w:rsidRDefault="009D0DF1" w:rsidP="009D0DF1">
            <w:pPr>
              <w:spacing w:before="16" w:after="16"/>
              <w:rPr>
                <w:rFonts w:cs="Times New Roman"/>
                <w:sz w:val="18"/>
                <w:szCs w:val="20"/>
              </w:rPr>
            </w:pPr>
          </w:p>
        </w:tc>
        <w:tc>
          <w:tcPr>
            <w:tcW w:w="3638" w:type="pct"/>
            <w:noWrap/>
            <w:hideMark/>
          </w:tcPr>
          <w:p w14:paraId="0DE4985B" w14:textId="77777777" w:rsidR="009D0DF1" w:rsidRPr="009D0DF1" w:rsidRDefault="009D0DF1" w:rsidP="009D0DF1">
            <w:pPr>
              <w:spacing w:before="16" w:after="16"/>
              <w:rPr>
                <w:rFonts w:cs="Times New Roman"/>
                <w:sz w:val="18"/>
                <w:szCs w:val="20"/>
              </w:rPr>
            </w:pPr>
            <w:r w:rsidRPr="009D0DF1">
              <w:rPr>
                <w:rFonts w:cs="Times New Roman"/>
                <w:sz w:val="18"/>
                <w:szCs w:val="20"/>
              </w:rPr>
              <w:t>Uso actual del suelo urbano</w:t>
            </w:r>
          </w:p>
        </w:tc>
      </w:tr>
    </w:tbl>
    <w:p w14:paraId="1F2DA096" w14:textId="34764B32" w:rsidR="00BD0536" w:rsidRDefault="00BD0536" w:rsidP="00BD0536">
      <w:pPr>
        <w:spacing w:before="16" w:after="16"/>
        <w:rPr>
          <w:rFonts w:cs="Times New Roman"/>
          <w:b/>
        </w:rPr>
      </w:pPr>
    </w:p>
    <w:p w14:paraId="392F998D" w14:textId="72228EA3" w:rsidR="00BD0536" w:rsidRDefault="00BD0536" w:rsidP="00BD0536">
      <w:pPr>
        <w:spacing w:before="16" w:after="16"/>
        <w:rPr>
          <w:rFonts w:cs="Times New Roman"/>
          <w:b/>
        </w:rPr>
      </w:pPr>
    </w:p>
    <w:p w14:paraId="40EFA37D" w14:textId="1477CE31" w:rsidR="009D0DF1" w:rsidRDefault="009D0DF1" w:rsidP="009D0DF1">
      <w:pPr>
        <w:spacing w:before="16" w:after="16"/>
        <w:rPr>
          <w:rFonts w:cs="Times New Roman"/>
        </w:rPr>
      </w:pPr>
      <w:r w:rsidRPr="009D0DF1">
        <w:rPr>
          <w:rFonts w:cs="Times New Roman"/>
        </w:rPr>
        <w:t>La cartografía se elaborará a escala 1:25.000 para suelo rural y 1:5.000 para suelo urbano, de expansión urbana y centros poblados o a una escala de mayor detalle si el municipio o distrito dispone de la información; lo anterior, sin perjuicio de la escala de representación gráfica que el municipio o distrito considere pertinente para facili</w:t>
      </w:r>
      <w:r>
        <w:rPr>
          <w:rFonts w:cs="Times New Roman"/>
        </w:rPr>
        <w:t>tar el manejo de la información</w:t>
      </w:r>
      <w:r w:rsidRPr="009D0DF1">
        <w:rPr>
          <w:rFonts w:cs="Times New Roman"/>
        </w:rPr>
        <w:t>.</w:t>
      </w:r>
      <w:r>
        <w:rPr>
          <w:rFonts w:cs="Times New Roman"/>
        </w:rPr>
        <w:t xml:space="preserve"> </w:t>
      </w:r>
      <w:r w:rsidRPr="009D0DF1">
        <w:rPr>
          <w:rFonts w:cs="Times New Roman"/>
        </w:rPr>
        <w:t>Los municipios con extensión superior a 1500 Km</w:t>
      </w:r>
      <w:r w:rsidRPr="009D0DF1">
        <w:rPr>
          <w:rFonts w:cs="Times New Roman"/>
          <w:vertAlign w:val="superscript"/>
        </w:rPr>
        <w:t>2</w:t>
      </w:r>
      <w:r w:rsidRPr="009D0DF1">
        <w:rPr>
          <w:rFonts w:cs="Times New Roman"/>
        </w:rPr>
        <w:t xml:space="preserve"> para los cuales sea demostrable que no existe base cartográfica e insumos a escala 1:25.000 podrán utilizar información cartográ</w:t>
      </w:r>
      <w:r>
        <w:rPr>
          <w:rFonts w:cs="Times New Roman"/>
        </w:rPr>
        <w:t>fica a las escalas disponibles.</w:t>
      </w:r>
    </w:p>
    <w:p w14:paraId="62508E5F" w14:textId="092319A4" w:rsidR="009D0DF1" w:rsidRDefault="009D0DF1" w:rsidP="009D0DF1">
      <w:pPr>
        <w:spacing w:before="16" w:after="16"/>
        <w:rPr>
          <w:rFonts w:cs="Times New Roman"/>
        </w:rPr>
      </w:pPr>
      <w:r>
        <w:rPr>
          <w:rFonts w:cs="Times New Roman"/>
        </w:rPr>
        <w:t>Además, s</w:t>
      </w:r>
      <w:r w:rsidRPr="009D0DF1">
        <w:rPr>
          <w:rFonts w:cs="Times New Roman"/>
        </w:rPr>
        <w:t>e podrán desarrollar otros mapas, estudios y análisis que la entidad territorial considere pertinente, de acuerdo a su geografía, complejidad urbana, y/o a la necesidad de avanzar en el conocimiento del territorio para su adecuada planificación territorial.</w:t>
      </w:r>
    </w:p>
    <w:p w14:paraId="5BBDAEBE" w14:textId="77777777" w:rsidR="009D0DF1" w:rsidRDefault="009D0DF1" w:rsidP="00BD0536">
      <w:pPr>
        <w:spacing w:before="16" w:after="16"/>
        <w:rPr>
          <w:rFonts w:cs="Times New Roman"/>
        </w:rPr>
      </w:pPr>
    </w:p>
    <w:p w14:paraId="2E7C6DFC" w14:textId="3EE77B93" w:rsidR="00BD0536" w:rsidRPr="009D0DF1" w:rsidRDefault="009D0DF1" w:rsidP="00DA0D5D">
      <w:pPr>
        <w:pStyle w:val="Prrafodelista"/>
        <w:numPr>
          <w:ilvl w:val="0"/>
          <w:numId w:val="20"/>
        </w:numPr>
        <w:spacing w:before="16" w:after="16"/>
        <w:rPr>
          <w:rFonts w:cs="Times New Roman"/>
        </w:rPr>
      </w:pPr>
      <w:r w:rsidRPr="009D0DF1">
        <w:rPr>
          <w:rFonts w:cs="Times New Roman"/>
          <w:b/>
        </w:rPr>
        <w:t>Documentos resultantes de la etapa de diagnóstico:</w:t>
      </w:r>
      <w:r>
        <w:rPr>
          <w:rFonts w:cs="Times New Roman"/>
        </w:rPr>
        <w:t xml:space="preserve"> </w:t>
      </w:r>
      <w:r w:rsidR="00BD0536" w:rsidRPr="009D0DF1">
        <w:rPr>
          <w:rFonts w:cs="Times New Roman"/>
        </w:rPr>
        <w:t>Una vez concluida esta etapa, Según el artículo 2.2.2.1.2.1.2 “Etapa de Diagnóstico” del Decreto 1077 de 2015, se entregarán:</w:t>
      </w:r>
    </w:p>
    <w:p w14:paraId="2B317117" w14:textId="7F496E3A" w:rsidR="00BD0536" w:rsidRPr="00DA0D5D" w:rsidRDefault="00BD0536" w:rsidP="00DA0D5D">
      <w:pPr>
        <w:spacing w:before="16" w:after="16"/>
        <w:rPr>
          <w:rFonts w:cs="Times New Roman"/>
        </w:rPr>
      </w:pPr>
      <w:r w:rsidRPr="00BD0536">
        <w:rPr>
          <w:rFonts w:cs="Times New Roman"/>
          <w:noProof/>
          <w:lang w:val="en-US"/>
        </w:rPr>
        <w:drawing>
          <wp:inline distT="0" distB="0" distL="0" distR="0" wp14:anchorId="3F1691EB" wp14:editId="0068E52B">
            <wp:extent cx="5612130" cy="15144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514475"/>
                    </a:xfrm>
                    <a:prstGeom prst="rect">
                      <a:avLst/>
                    </a:prstGeom>
                  </pic:spPr>
                </pic:pic>
              </a:graphicData>
            </a:graphic>
          </wp:inline>
        </w:drawing>
      </w:r>
    </w:p>
    <w:p w14:paraId="1650F18D" w14:textId="77777777" w:rsidR="009D0DF1" w:rsidRDefault="009D0DF1" w:rsidP="009D0DF1">
      <w:pPr>
        <w:spacing w:before="16" w:after="16"/>
        <w:rPr>
          <w:rFonts w:cs="Times New Roman"/>
        </w:rPr>
      </w:pPr>
      <w:r w:rsidRPr="002A6260">
        <w:rPr>
          <w:rFonts w:cs="Times New Roman"/>
        </w:rPr>
        <w:t>Fuente: (Minvivienda, 2023)</w:t>
      </w:r>
    </w:p>
    <w:p w14:paraId="1D464C56" w14:textId="532DDD14" w:rsidR="002A6260" w:rsidRPr="002A6260" w:rsidRDefault="002A6260" w:rsidP="009D0DF1">
      <w:pPr>
        <w:spacing w:before="16" w:after="16"/>
        <w:rPr>
          <w:rFonts w:cs="Times New Roman"/>
        </w:rPr>
      </w:pPr>
    </w:p>
    <w:p w14:paraId="51D15711" w14:textId="4E2462A6" w:rsidR="009D0DF1" w:rsidRPr="0021146B" w:rsidRDefault="009D0DF1" w:rsidP="0021146B">
      <w:pPr>
        <w:pStyle w:val="Prrafodelista"/>
        <w:numPr>
          <w:ilvl w:val="1"/>
          <w:numId w:val="39"/>
        </w:numPr>
        <w:spacing w:before="16" w:after="16"/>
        <w:rPr>
          <w:rFonts w:cs="Times New Roman"/>
          <w:b/>
        </w:rPr>
      </w:pPr>
      <w:r w:rsidRPr="0021146B">
        <w:rPr>
          <w:rFonts w:cs="Times New Roman"/>
          <w:b/>
        </w:rPr>
        <w:t>Formulación:</w:t>
      </w:r>
    </w:p>
    <w:p w14:paraId="5689EDAF" w14:textId="2306D3EF" w:rsidR="009D0DF1" w:rsidRDefault="009D0DF1" w:rsidP="009D0DF1">
      <w:pPr>
        <w:spacing w:before="16" w:after="16"/>
        <w:rPr>
          <w:rFonts w:cs="Times New Roman"/>
        </w:rPr>
      </w:pPr>
      <w:r w:rsidRPr="009D0DF1">
        <w:rPr>
          <w:rFonts w:cs="Times New Roman"/>
        </w:rPr>
        <w:t xml:space="preserve">La etapa de formulación es un momento en el cual, mediante un esfuerzo técnico, administrativo, interdisciplinario e interinstitucional (instancias del proceso de revisión del POT), se toman las decisiones de ordenamiento territorial para el </w:t>
      </w:r>
      <w:r w:rsidRPr="009D0DF1">
        <w:rPr>
          <w:rFonts w:cs="Times New Roman"/>
        </w:rPr>
        <w:lastRenderedPageBreak/>
        <w:t>municipio o el distrito, a partir de los resultados del diagnóstico territorial y del seguimiento y evaluación y del diagnóstico territorial. Contextualmente se realizarán las siguientes actividades y se cumplirá con ciertas obligaciones:</w:t>
      </w:r>
    </w:p>
    <w:p w14:paraId="57FD4A3F" w14:textId="2B16253C" w:rsidR="009D0DF1" w:rsidRDefault="009D0DF1" w:rsidP="009D0DF1">
      <w:pPr>
        <w:spacing w:before="16" w:after="16"/>
        <w:rPr>
          <w:rFonts w:cs="Times New Roman"/>
        </w:rPr>
      </w:pPr>
    </w:p>
    <w:p w14:paraId="0B9F3A2E" w14:textId="77777777" w:rsidR="009D0DF1" w:rsidRPr="009D0DF1" w:rsidRDefault="009D0DF1" w:rsidP="009D0DF1">
      <w:pPr>
        <w:spacing w:before="16" w:after="16"/>
        <w:rPr>
          <w:rFonts w:cs="Times New Roman"/>
        </w:rPr>
      </w:pPr>
    </w:p>
    <w:p w14:paraId="702BCC0B" w14:textId="06FBCBE0" w:rsidR="002A6260" w:rsidRDefault="009D0DF1" w:rsidP="002A6260">
      <w:pPr>
        <w:spacing w:before="16" w:after="16"/>
        <w:ind w:left="142"/>
        <w:rPr>
          <w:rFonts w:cs="Times New Roman"/>
        </w:rPr>
      </w:pPr>
      <w:r w:rsidRPr="009D0DF1">
        <w:rPr>
          <w:rFonts w:cs="Times New Roman"/>
          <w:noProof/>
          <w:lang w:val="en-US"/>
        </w:rPr>
        <w:drawing>
          <wp:inline distT="0" distB="0" distL="0" distR="0" wp14:anchorId="49916C83" wp14:editId="337768CA">
            <wp:extent cx="5612130" cy="294830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48305"/>
                    </a:xfrm>
                    <a:prstGeom prst="rect">
                      <a:avLst/>
                    </a:prstGeom>
                  </pic:spPr>
                </pic:pic>
              </a:graphicData>
            </a:graphic>
          </wp:inline>
        </w:drawing>
      </w:r>
    </w:p>
    <w:p w14:paraId="33CE4311" w14:textId="77777777" w:rsidR="009D0DF1" w:rsidRDefault="009D0DF1" w:rsidP="009D0DF1">
      <w:pPr>
        <w:spacing w:before="16" w:after="16"/>
        <w:rPr>
          <w:rFonts w:cs="Times New Roman"/>
        </w:rPr>
      </w:pPr>
      <w:r w:rsidRPr="002A6260">
        <w:rPr>
          <w:rFonts w:cs="Times New Roman"/>
        </w:rPr>
        <w:t>Fuente: (Minvivienda, 2023)</w:t>
      </w:r>
    </w:p>
    <w:p w14:paraId="04C91696" w14:textId="0AEFBB72" w:rsidR="009D0DF1" w:rsidRDefault="009D0DF1" w:rsidP="009D0DF1">
      <w:pPr>
        <w:spacing w:before="16" w:after="16"/>
        <w:rPr>
          <w:rFonts w:cs="Times New Roman"/>
        </w:rPr>
      </w:pPr>
    </w:p>
    <w:p w14:paraId="29F6B6D8" w14:textId="7BF599B6" w:rsidR="009D0DF1" w:rsidRPr="00EC4F8F" w:rsidRDefault="00EC4F8F" w:rsidP="009D0DF1">
      <w:pPr>
        <w:pStyle w:val="Prrafodelista"/>
        <w:numPr>
          <w:ilvl w:val="0"/>
          <w:numId w:val="20"/>
        </w:numPr>
        <w:spacing w:before="16" w:after="16"/>
        <w:rPr>
          <w:rFonts w:cs="Times New Roman"/>
          <w:b/>
        </w:rPr>
      </w:pPr>
      <w:r w:rsidRPr="00EC4F8F">
        <w:rPr>
          <w:rFonts w:cs="Times New Roman"/>
          <w:b/>
        </w:rPr>
        <w:t xml:space="preserve">Instancias: </w:t>
      </w:r>
    </w:p>
    <w:p w14:paraId="1816CB5D" w14:textId="14C9A8C9" w:rsidR="00EC4F8F" w:rsidRPr="00EC4F8F" w:rsidRDefault="00EC4F8F" w:rsidP="00EC4F8F">
      <w:pPr>
        <w:spacing w:before="16" w:after="16"/>
        <w:rPr>
          <w:rFonts w:cs="Times New Roman"/>
        </w:rPr>
      </w:pPr>
      <w:r w:rsidRPr="00EC4F8F">
        <w:rPr>
          <w:rFonts w:cs="Times New Roman"/>
          <w:noProof/>
          <w:lang w:val="en-US"/>
        </w:rPr>
        <w:lastRenderedPageBreak/>
        <w:drawing>
          <wp:inline distT="0" distB="0" distL="0" distR="0" wp14:anchorId="175CDEC5" wp14:editId="003BBD6B">
            <wp:extent cx="5612130" cy="31553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5315"/>
                    </a:xfrm>
                    <a:prstGeom prst="rect">
                      <a:avLst/>
                    </a:prstGeom>
                  </pic:spPr>
                </pic:pic>
              </a:graphicData>
            </a:graphic>
          </wp:inline>
        </w:drawing>
      </w:r>
    </w:p>
    <w:p w14:paraId="38F8D9CF" w14:textId="77777777" w:rsidR="00EC4F8F" w:rsidRDefault="00EC4F8F" w:rsidP="00EC4F8F">
      <w:pPr>
        <w:spacing w:before="16" w:after="16"/>
        <w:rPr>
          <w:rFonts w:cs="Times New Roman"/>
        </w:rPr>
      </w:pPr>
      <w:r w:rsidRPr="002A6260">
        <w:rPr>
          <w:rFonts w:cs="Times New Roman"/>
        </w:rPr>
        <w:t>Fuente: (Minvivienda, 2023)</w:t>
      </w:r>
    </w:p>
    <w:p w14:paraId="5713C457" w14:textId="3A6E4732" w:rsidR="00EC4F8F" w:rsidRPr="002A6260" w:rsidRDefault="00EC4F8F" w:rsidP="00EC4F8F">
      <w:pPr>
        <w:spacing w:before="16" w:after="16"/>
        <w:rPr>
          <w:rFonts w:cs="Times New Roman"/>
        </w:rPr>
      </w:pPr>
    </w:p>
    <w:p w14:paraId="7D67253F" w14:textId="1F9BE563" w:rsidR="002A6260" w:rsidRPr="00EC4F8F" w:rsidRDefault="00EC4F8F" w:rsidP="00EC4F8F">
      <w:pPr>
        <w:pStyle w:val="Prrafodelista"/>
        <w:numPr>
          <w:ilvl w:val="0"/>
          <w:numId w:val="20"/>
        </w:numPr>
        <w:spacing w:before="16" w:after="16"/>
        <w:rPr>
          <w:rFonts w:cs="Times New Roman"/>
        </w:rPr>
      </w:pPr>
      <w:r w:rsidRPr="00EC4F8F">
        <w:rPr>
          <w:rFonts w:cs="Times New Roman"/>
          <w:b/>
        </w:rPr>
        <w:t xml:space="preserve">Documentos resultantes de la etapa de </w:t>
      </w:r>
      <w:r>
        <w:rPr>
          <w:rFonts w:cs="Times New Roman"/>
          <w:b/>
        </w:rPr>
        <w:t>formulación</w:t>
      </w:r>
    </w:p>
    <w:p w14:paraId="3ABBC1DC" w14:textId="6293384A" w:rsidR="00EC4F8F" w:rsidRPr="00EC4F8F" w:rsidRDefault="00EC4F8F" w:rsidP="00EC4F8F">
      <w:pPr>
        <w:spacing w:before="16" w:after="16"/>
        <w:rPr>
          <w:rFonts w:cs="Times New Roman"/>
        </w:rPr>
      </w:pPr>
      <w:r w:rsidRPr="00EC4F8F">
        <w:rPr>
          <w:rFonts w:cs="Times New Roman"/>
        </w:rPr>
        <w:t xml:space="preserve">Los documentos a realizar en la etapa de formulación varían de acuerdo con los siguientes casos: El municipio adelanta la primera adopción del </w:t>
      </w:r>
      <w:r>
        <w:rPr>
          <w:rFonts w:cs="Times New Roman"/>
        </w:rPr>
        <w:t xml:space="preserve">instrumento de ordenamiento o el </w:t>
      </w:r>
      <w:r w:rsidRPr="00EC4F8F">
        <w:rPr>
          <w:rFonts w:cs="Times New Roman"/>
        </w:rPr>
        <w:t>munici</w:t>
      </w:r>
      <w:r>
        <w:rPr>
          <w:rFonts w:cs="Times New Roman"/>
        </w:rPr>
        <w:t>pio adelanta la revisión del instrumento</w:t>
      </w:r>
      <w:r w:rsidRPr="00EC4F8F">
        <w:rPr>
          <w:rFonts w:cs="Times New Roman"/>
        </w:rPr>
        <w:t xml:space="preserve">. A continuación, se presentan los documentos que resultan de la etapa de formulación para la primera adopción y para la revisión general. </w:t>
      </w:r>
    </w:p>
    <w:p w14:paraId="52FDB3FA" w14:textId="58E62CFD" w:rsidR="002A6260" w:rsidRPr="002A6260" w:rsidRDefault="00EC4F8F" w:rsidP="00EC4F8F">
      <w:pPr>
        <w:spacing w:before="16" w:after="16"/>
        <w:jc w:val="center"/>
        <w:rPr>
          <w:rFonts w:cs="Times New Roman"/>
        </w:rPr>
      </w:pPr>
      <w:r w:rsidRPr="00EC4F8F">
        <w:rPr>
          <w:rFonts w:cs="Times New Roman"/>
          <w:noProof/>
          <w:lang w:val="en-US"/>
        </w:rPr>
        <w:lastRenderedPageBreak/>
        <w:drawing>
          <wp:inline distT="0" distB="0" distL="0" distR="0" wp14:anchorId="2BCC6037" wp14:editId="71A16D2C">
            <wp:extent cx="4530752" cy="3412162"/>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2442" cy="3420966"/>
                    </a:xfrm>
                    <a:prstGeom prst="rect">
                      <a:avLst/>
                    </a:prstGeom>
                  </pic:spPr>
                </pic:pic>
              </a:graphicData>
            </a:graphic>
          </wp:inline>
        </w:drawing>
      </w:r>
    </w:p>
    <w:p w14:paraId="693E9012" w14:textId="77777777" w:rsidR="00EC4F8F" w:rsidRDefault="00EC4F8F" w:rsidP="00EC4F8F">
      <w:pPr>
        <w:spacing w:before="16" w:after="16"/>
        <w:rPr>
          <w:rFonts w:cs="Times New Roman"/>
        </w:rPr>
      </w:pPr>
      <w:r w:rsidRPr="002A6260">
        <w:rPr>
          <w:rFonts w:cs="Times New Roman"/>
        </w:rPr>
        <w:t>Fuente: (Minvivienda, 2023)</w:t>
      </w:r>
    </w:p>
    <w:p w14:paraId="36B2C069" w14:textId="0C111032" w:rsidR="002A6260" w:rsidRDefault="002A6260" w:rsidP="00EC4F8F">
      <w:pPr>
        <w:spacing w:before="16" w:after="16"/>
        <w:rPr>
          <w:rFonts w:cs="Times New Roman"/>
        </w:rPr>
      </w:pPr>
    </w:p>
    <w:p w14:paraId="05A6F2CF" w14:textId="4690E762" w:rsidR="00EC4F8F" w:rsidRDefault="00EC4F8F" w:rsidP="00EC4F8F">
      <w:pPr>
        <w:spacing w:before="16" w:after="16"/>
        <w:rPr>
          <w:rFonts w:cs="Times New Roman"/>
        </w:rPr>
      </w:pPr>
      <w:r>
        <w:rPr>
          <w:rFonts w:cs="Times New Roman"/>
        </w:rPr>
        <w:t>Asimismo,</w:t>
      </w:r>
      <w:r w:rsidRPr="00EC4F8F">
        <w:rPr>
          <w:rFonts w:cs="Times New Roman"/>
        </w:rPr>
        <w:t xml:space="preserve"> se presentan los documentos que resultan de la etapa de formulación para a revisión de corto o mediano plazo, de la modificación excepcional de norma urbanística y la revisión excepcional.</w:t>
      </w:r>
    </w:p>
    <w:p w14:paraId="400968C1" w14:textId="440478E6" w:rsidR="00EC4F8F" w:rsidRDefault="00EC4F8F" w:rsidP="00EC4F8F">
      <w:pPr>
        <w:spacing w:before="16" w:after="16"/>
        <w:rPr>
          <w:rFonts w:cs="Times New Roman"/>
        </w:rPr>
      </w:pPr>
    </w:p>
    <w:p w14:paraId="7A9EDFA6" w14:textId="20D91361" w:rsidR="00EC4F8F" w:rsidRDefault="00EC4F8F" w:rsidP="00EC4F8F">
      <w:pPr>
        <w:spacing w:before="16" w:after="16"/>
        <w:jc w:val="center"/>
        <w:rPr>
          <w:rFonts w:cs="Times New Roman"/>
        </w:rPr>
      </w:pPr>
      <w:r w:rsidRPr="00EC4F8F">
        <w:rPr>
          <w:rFonts w:cs="Times New Roman"/>
          <w:noProof/>
          <w:lang w:val="en-US"/>
        </w:rPr>
        <w:lastRenderedPageBreak/>
        <w:drawing>
          <wp:inline distT="0" distB="0" distL="0" distR="0" wp14:anchorId="42C92CEE" wp14:editId="511B440D">
            <wp:extent cx="4355207" cy="3478548"/>
            <wp:effectExtent l="0" t="0" r="762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70797" cy="3491000"/>
                    </a:xfrm>
                    <a:prstGeom prst="rect">
                      <a:avLst/>
                    </a:prstGeom>
                  </pic:spPr>
                </pic:pic>
              </a:graphicData>
            </a:graphic>
          </wp:inline>
        </w:drawing>
      </w:r>
    </w:p>
    <w:p w14:paraId="0C22E6F1" w14:textId="40D1E8B4" w:rsidR="002A6260" w:rsidRDefault="002A6260" w:rsidP="00EC4F8F">
      <w:pPr>
        <w:spacing w:before="16" w:after="16"/>
        <w:rPr>
          <w:rFonts w:cs="Times New Roman"/>
        </w:rPr>
      </w:pPr>
    </w:p>
    <w:p w14:paraId="0D1D947F" w14:textId="42D68682" w:rsidR="00EC4F8F" w:rsidRDefault="00EC4F8F" w:rsidP="002A6260">
      <w:pPr>
        <w:spacing w:before="16" w:after="16"/>
        <w:ind w:left="142"/>
        <w:rPr>
          <w:rFonts w:cs="Times New Roman"/>
        </w:rPr>
      </w:pPr>
    </w:p>
    <w:sectPr w:rsidR="00EC4F8F" w:rsidSect="002F09EA">
      <w:headerReference w:type="default" r:id="rId27"/>
      <w:footerReference w:type="default" r:id="rId2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8CF27" w14:textId="77777777" w:rsidR="004F5D44" w:rsidRDefault="004F5D44" w:rsidP="0082674E">
      <w:pPr>
        <w:spacing w:after="0" w:line="240" w:lineRule="auto"/>
      </w:pPr>
      <w:r>
        <w:separator/>
      </w:r>
    </w:p>
  </w:endnote>
  <w:endnote w:type="continuationSeparator" w:id="0">
    <w:p w14:paraId="551DD3F1" w14:textId="77777777" w:rsidR="004F5D44" w:rsidRDefault="004F5D44" w:rsidP="00826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4535D" w14:textId="2D6685FD" w:rsidR="00154851" w:rsidRDefault="00154851" w:rsidP="0063072C">
    <w:pPr>
      <w:pStyle w:val="Piedepgina"/>
      <w:tabs>
        <w:tab w:val="clear" w:pos="4419"/>
        <w:tab w:val="clear" w:pos="8838"/>
        <w:tab w:val="left" w:pos="8039"/>
      </w:tabs>
    </w:pPr>
    <w:r>
      <w:rPr>
        <w:noProof/>
        <w:lang w:val="en-US"/>
      </w:rPr>
      <w:drawing>
        <wp:anchor distT="0" distB="0" distL="114300" distR="114300" simplePos="0" relativeHeight="251663360" behindDoc="1" locked="0" layoutInCell="1" allowOverlap="1" wp14:anchorId="512F00AB" wp14:editId="5F73D21F">
          <wp:simplePos x="0" y="0"/>
          <wp:positionH relativeFrom="margin">
            <wp:align>left</wp:align>
          </wp:positionH>
          <wp:positionV relativeFrom="paragraph">
            <wp:posOffset>-685662</wp:posOffset>
          </wp:positionV>
          <wp:extent cx="3260035" cy="1360805"/>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763" t="-584" r="48541" b="584"/>
                  <a:stretch/>
                </pic:blipFill>
                <pic:spPr bwMode="auto">
                  <a:xfrm>
                    <a:off x="0" y="0"/>
                    <a:ext cx="3260035" cy="1360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1" allowOverlap="1" wp14:anchorId="63ACCFB4" wp14:editId="4A3B77FA">
          <wp:simplePos x="0" y="0"/>
          <wp:positionH relativeFrom="page">
            <wp:align>right</wp:align>
          </wp:positionH>
          <wp:positionV relativeFrom="paragraph">
            <wp:posOffset>-352536</wp:posOffset>
          </wp:positionV>
          <wp:extent cx="2155935" cy="975300"/>
          <wp:effectExtent l="0" t="0" r="0" b="0"/>
          <wp:wrapNone/>
          <wp:docPr id="1239038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526"/>
                  <a:stretch/>
                </pic:blipFill>
                <pic:spPr bwMode="auto">
                  <a:xfrm>
                    <a:off x="0" y="0"/>
                    <a:ext cx="2155935" cy="97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E8DFE" w14:textId="77777777" w:rsidR="004F5D44" w:rsidRDefault="004F5D44" w:rsidP="0082674E">
      <w:pPr>
        <w:spacing w:after="0" w:line="240" w:lineRule="auto"/>
      </w:pPr>
      <w:r>
        <w:separator/>
      </w:r>
    </w:p>
  </w:footnote>
  <w:footnote w:type="continuationSeparator" w:id="0">
    <w:p w14:paraId="203E8F5D" w14:textId="77777777" w:rsidR="004F5D44" w:rsidRDefault="004F5D44" w:rsidP="00826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E8B27" w14:textId="3C2E58B7" w:rsidR="00154851" w:rsidRDefault="00154851">
    <w:pPr>
      <w:pStyle w:val="Encabezado"/>
    </w:pPr>
    <w:r>
      <w:rPr>
        <w:noProof/>
        <w:lang w:val="en-US"/>
      </w:rPr>
      <w:drawing>
        <wp:anchor distT="0" distB="0" distL="114300" distR="114300" simplePos="0" relativeHeight="251659264" behindDoc="1" locked="0" layoutInCell="1" allowOverlap="1" wp14:anchorId="590E46DC" wp14:editId="532423EF">
          <wp:simplePos x="0" y="0"/>
          <wp:positionH relativeFrom="page">
            <wp:posOffset>278296</wp:posOffset>
          </wp:positionH>
          <wp:positionV relativeFrom="paragraph">
            <wp:posOffset>-652310</wp:posOffset>
          </wp:positionV>
          <wp:extent cx="7772576" cy="1270547"/>
          <wp:effectExtent l="0" t="0" r="0" b="0"/>
          <wp:wrapNone/>
          <wp:docPr id="1653873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73808"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576" cy="1270547"/>
                  </a:xfrm>
                  <a:prstGeom prst="rect">
                    <a:avLst/>
                  </a:prstGeom>
                  <a:noFill/>
                  <a:ln>
                    <a:noFill/>
                  </a:ln>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35B"/>
    <w:multiLevelType w:val="hybridMultilevel"/>
    <w:tmpl w:val="F8380222"/>
    <w:lvl w:ilvl="0" w:tplc="F09C1708">
      <w:start w:val="1"/>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A4689"/>
    <w:multiLevelType w:val="multilevel"/>
    <w:tmpl w:val="901AB734"/>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3E22033"/>
    <w:multiLevelType w:val="hybridMultilevel"/>
    <w:tmpl w:val="04F6CA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0F72F1"/>
    <w:multiLevelType w:val="hybridMultilevel"/>
    <w:tmpl w:val="D64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45600"/>
    <w:multiLevelType w:val="multilevel"/>
    <w:tmpl w:val="F29AB776"/>
    <w:lvl w:ilvl="0">
      <w:start w:val="4"/>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0BFE4ED1"/>
    <w:multiLevelType w:val="multilevel"/>
    <w:tmpl w:val="66B465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D14E85"/>
    <w:multiLevelType w:val="hybridMultilevel"/>
    <w:tmpl w:val="524EF03A"/>
    <w:lvl w:ilvl="0" w:tplc="46CA097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1E444638"/>
    <w:multiLevelType w:val="hybridMultilevel"/>
    <w:tmpl w:val="12326E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4B3F52"/>
    <w:multiLevelType w:val="hybridMultilevel"/>
    <w:tmpl w:val="F6722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A20BDB"/>
    <w:multiLevelType w:val="multilevel"/>
    <w:tmpl w:val="10BE8A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3AF6CA7"/>
    <w:multiLevelType w:val="hybridMultilevel"/>
    <w:tmpl w:val="B0A2E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43886"/>
    <w:multiLevelType w:val="multilevel"/>
    <w:tmpl w:val="5EB0F578"/>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9D61B0"/>
    <w:multiLevelType w:val="multilevel"/>
    <w:tmpl w:val="EF24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D03FF"/>
    <w:multiLevelType w:val="hybridMultilevel"/>
    <w:tmpl w:val="172693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1FE7F37"/>
    <w:multiLevelType w:val="multilevel"/>
    <w:tmpl w:val="FC502E06"/>
    <w:lvl w:ilvl="0">
      <w:start w:val="4"/>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5" w15:restartNumberingAfterBreak="0">
    <w:nsid w:val="44A10997"/>
    <w:multiLevelType w:val="multilevel"/>
    <w:tmpl w:val="CD42171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4B62CA5"/>
    <w:multiLevelType w:val="multilevel"/>
    <w:tmpl w:val="D2BE520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247F56"/>
    <w:multiLevelType w:val="multilevel"/>
    <w:tmpl w:val="AE4669E6"/>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C2279A9"/>
    <w:multiLevelType w:val="hybridMultilevel"/>
    <w:tmpl w:val="27F8C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EB7A28"/>
    <w:multiLevelType w:val="multilevel"/>
    <w:tmpl w:val="39C4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ED735F"/>
    <w:multiLevelType w:val="multilevel"/>
    <w:tmpl w:val="018C9260"/>
    <w:lvl w:ilvl="0">
      <w:start w:val="8"/>
      <w:numFmt w:val="decimal"/>
      <w:lvlText w:val="%1."/>
      <w:lvlJc w:val="left"/>
      <w:pPr>
        <w:ind w:left="540" w:hanging="54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50EE7B0B"/>
    <w:multiLevelType w:val="hybridMultilevel"/>
    <w:tmpl w:val="932A5B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21B0E91"/>
    <w:multiLevelType w:val="multilevel"/>
    <w:tmpl w:val="6E7038C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987F99"/>
    <w:multiLevelType w:val="hybridMultilevel"/>
    <w:tmpl w:val="B600B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1A6F6E"/>
    <w:multiLevelType w:val="hybridMultilevel"/>
    <w:tmpl w:val="55C61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265FD"/>
    <w:multiLevelType w:val="hybridMultilevel"/>
    <w:tmpl w:val="E264D836"/>
    <w:lvl w:ilvl="0" w:tplc="4A14643E">
      <w:start w:val="1"/>
      <w:numFmt w:val="lowerLetter"/>
      <w:lvlText w:val="%1)"/>
      <w:lvlJc w:val="left"/>
      <w:pPr>
        <w:ind w:left="239" w:hanging="173"/>
      </w:pPr>
      <w:rPr>
        <w:rFonts w:hint="default"/>
        <w:spacing w:val="-2"/>
        <w:w w:val="100"/>
        <w:lang w:val="es-ES" w:eastAsia="es-ES" w:bidi="es-ES"/>
      </w:rPr>
    </w:lvl>
    <w:lvl w:ilvl="1" w:tplc="26CCBA4C">
      <w:numFmt w:val="bullet"/>
      <w:lvlText w:val="•"/>
      <w:lvlJc w:val="left"/>
      <w:pPr>
        <w:ind w:left="901" w:hanging="173"/>
      </w:pPr>
      <w:rPr>
        <w:rFonts w:hint="default"/>
        <w:lang w:val="es-ES" w:eastAsia="es-ES" w:bidi="es-ES"/>
      </w:rPr>
    </w:lvl>
    <w:lvl w:ilvl="2" w:tplc="7150871A">
      <w:numFmt w:val="bullet"/>
      <w:lvlText w:val="•"/>
      <w:lvlJc w:val="left"/>
      <w:pPr>
        <w:ind w:left="1562" w:hanging="173"/>
      </w:pPr>
      <w:rPr>
        <w:rFonts w:hint="default"/>
        <w:lang w:val="es-ES" w:eastAsia="es-ES" w:bidi="es-ES"/>
      </w:rPr>
    </w:lvl>
    <w:lvl w:ilvl="3" w:tplc="733E88D6">
      <w:numFmt w:val="bullet"/>
      <w:lvlText w:val="•"/>
      <w:lvlJc w:val="left"/>
      <w:pPr>
        <w:ind w:left="2224" w:hanging="173"/>
      </w:pPr>
      <w:rPr>
        <w:rFonts w:hint="default"/>
        <w:lang w:val="es-ES" w:eastAsia="es-ES" w:bidi="es-ES"/>
      </w:rPr>
    </w:lvl>
    <w:lvl w:ilvl="4" w:tplc="E39C72AE">
      <w:numFmt w:val="bullet"/>
      <w:lvlText w:val="•"/>
      <w:lvlJc w:val="left"/>
      <w:pPr>
        <w:ind w:left="2885" w:hanging="173"/>
      </w:pPr>
      <w:rPr>
        <w:rFonts w:hint="default"/>
        <w:lang w:val="es-ES" w:eastAsia="es-ES" w:bidi="es-ES"/>
      </w:rPr>
    </w:lvl>
    <w:lvl w:ilvl="5" w:tplc="14F6A130">
      <w:numFmt w:val="bullet"/>
      <w:lvlText w:val="•"/>
      <w:lvlJc w:val="left"/>
      <w:pPr>
        <w:ind w:left="3547" w:hanging="173"/>
      </w:pPr>
      <w:rPr>
        <w:rFonts w:hint="default"/>
        <w:lang w:val="es-ES" w:eastAsia="es-ES" w:bidi="es-ES"/>
      </w:rPr>
    </w:lvl>
    <w:lvl w:ilvl="6" w:tplc="1D3CE100">
      <w:numFmt w:val="bullet"/>
      <w:lvlText w:val="•"/>
      <w:lvlJc w:val="left"/>
      <w:pPr>
        <w:ind w:left="4208" w:hanging="173"/>
      </w:pPr>
      <w:rPr>
        <w:rFonts w:hint="default"/>
        <w:lang w:val="es-ES" w:eastAsia="es-ES" w:bidi="es-ES"/>
      </w:rPr>
    </w:lvl>
    <w:lvl w:ilvl="7" w:tplc="40067D80">
      <w:numFmt w:val="bullet"/>
      <w:lvlText w:val="•"/>
      <w:lvlJc w:val="left"/>
      <w:pPr>
        <w:ind w:left="4869" w:hanging="173"/>
      </w:pPr>
      <w:rPr>
        <w:rFonts w:hint="default"/>
        <w:lang w:val="es-ES" w:eastAsia="es-ES" w:bidi="es-ES"/>
      </w:rPr>
    </w:lvl>
    <w:lvl w:ilvl="8" w:tplc="2AE282E0">
      <w:numFmt w:val="bullet"/>
      <w:lvlText w:val="•"/>
      <w:lvlJc w:val="left"/>
      <w:pPr>
        <w:ind w:left="5531" w:hanging="173"/>
      </w:pPr>
      <w:rPr>
        <w:rFonts w:hint="default"/>
        <w:lang w:val="es-ES" w:eastAsia="es-ES" w:bidi="es-ES"/>
      </w:rPr>
    </w:lvl>
  </w:abstractNum>
  <w:abstractNum w:abstractNumId="26" w15:restartNumberingAfterBreak="0">
    <w:nsid w:val="5B5045FF"/>
    <w:multiLevelType w:val="hybridMultilevel"/>
    <w:tmpl w:val="B66CD6E4"/>
    <w:lvl w:ilvl="0" w:tplc="15F46EC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610675B2"/>
    <w:multiLevelType w:val="multilevel"/>
    <w:tmpl w:val="EA22A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E47E50"/>
    <w:multiLevelType w:val="multilevel"/>
    <w:tmpl w:val="1C0E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884E3B"/>
    <w:multiLevelType w:val="hybridMultilevel"/>
    <w:tmpl w:val="67F6D5D2"/>
    <w:lvl w:ilvl="0" w:tplc="C7045FA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23187B"/>
    <w:multiLevelType w:val="hybridMultilevel"/>
    <w:tmpl w:val="8F9E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300C6"/>
    <w:multiLevelType w:val="multilevel"/>
    <w:tmpl w:val="D70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B2A39"/>
    <w:multiLevelType w:val="multilevel"/>
    <w:tmpl w:val="986E34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2866B3"/>
    <w:multiLevelType w:val="hybridMultilevel"/>
    <w:tmpl w:val="0CA8D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67740"/>
    <w:multiLevelType w:val="hybridMultilevel"/>
    <w:tmpl w:val="2F96FE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BB03BD"/>
    <w:multiLevelType w:val="hybridMultilevel"/>
    <w:tmpl w:val="2D22C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64342B6"/>
    <w:multiLevelType w:val="multilevel"/>
    <w:tmpl w:val="0146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867DEF"/>
    <w:multiLevelType w:val="hybridMultilevel"/>
    <w:tmpl w:val="30B858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9741ED8"/>
    <w:multiLevelType w:val="hybridMultilevel"/>
    <w:tmpl w:val="5A7002D0"/>
    <w:lvl w:ilvl="0" w:tplc="10A86FDA">
      <w:start w:val="8"/>
      <w:numFmt w:val="decimal"/>
      <w:lvlText w:val="%1."/>
      <w:lvlJc w:val="left"/>
      <w:pPr>
        <w:ind w:left="644" w:hanging="360"/>
      </w:pPr>
      <w:rPr>
        <w:rFonts w:cstheme="minorBidi"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9" w15:restartNumberingAfterBreak="0">
    <w:nsid w:val="7AF259A3"/>
    <w:multiLevelType w:val="multilevel"/>
    <w:tmpl w:val="36F4BB18"/>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7914AE"/>
    <w:multiLevelType w:val="multilevel"/>
    <w:tmpl w:val="03A2AE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7727807">
    <w:abstractNumId w:val="2"/>
  </w:num>
  <w:num w:numId="2" w16cid:durableId="312104577">
    <w:abstractNumId w:val="40"/>
  </w:num>
  <w:num w:numId="3" w16cid:durableId="2024747935">
    <w:abstractNumId w:val="15"/>
  </w:num>
  <w:num w:numId="4" w16cid:durableId="238178221">
    <w:abstractNumId w:val="21"/>
  </w:num>
  <w:num w:numId="5" w16cid:durableId="589973286">
    <w:abstractNumId w:val="17"/>
  </w:num>
  <w:num w:numId="6" w16cid:durableId="549658753">
    <w:abstractNumId w:val="1"/>
  </w:num>
  <w:num w:numId="7" w16cid:durableId="1151873469">
    <w:abstractNumId w:val="16"/>
  </w:num>
  <w:num w:numId="8" w16cid:durableId="663969675">
    <w:abstractNumId w:val="14"/>
  </w:num>
  <w:num w:numId="9" w16cid:durableId="1065688011">
    <w:abstractNumId w:val="25"/>
  </w:num>
  <w:num w:numId="10" w16cid:durableId="80955069">
    <w:abstractNumId w:val="4"/>
  </w:num>
  <w:num w:numId="11" w16cid:durableId="1970042030">
    <w:abstractNumId w:val="8"/>
  </w:num>
  <w:num w:numId="12" w16cid:durableId="98767383">
    <w:abstractNumId w:val="35"/>
  </w:num>
  <w:num w:numId="13" w16cid:durableId="2079203629">
    <w:abstractNumId w:val="24"/>
  </w:num>
  <w:num w:numId="14" w16cid:durableId="430786855">
    <w:abstractNumId w:val="38"/>
  </w:num>
  <w:num w:numId="15" w16cid:durableId="1674918252">
    <w:abstractNumId w:val="6"/>
  </w:num>
  <w:num w:numId="16" w16cid:durableId="178737724">
    <w:abstractNumId w:val="26"/>
  </w:num>
  <w:num w:numId="17" w16cid:durableId="1331445591">
    <w:abstractNumId w:val="22"/>
  </w:num>
  <w:num w:numId="18" w16cid:durableId="665746772">
    <w:abstractNumId w:val="11"/>
  </w:num>
  <w:num w:numId="19" w16cid:durableId="521094771">
    <w:abstractNumId w:val="5"/>
  </w:num>
  <w:num w:numId="20" w16cid:durableId="388312328">
    <w:abstractNumId w:val="29"/>
  </w:num>
  <w:num w:numId="21" w16cid:durableId="284309159">
    <w:abstractNumId w:val="32"/>
  </w:num>
  <w:num w:numId="22" w16cid:durableId="991522622">
    <w:abstractNumId w:val="18"/>
  </w:num>
  <w:num w:numId="23" w16cid:durableId="1032339568">
    <w:abstractNumId w:val="13"/>
  </w:num>
  <w:num w:numId="24" w16cid:durableId="55786651">
    <w:abstractNumId w:val="37"/>
  </w:num>
  <w:num w:numId="25" w16cid:durableId="1932658409">
    <w:abstractNumId w:val="7"/>
  </w:num>
  <w:num w:numId="26" w16cid:durableId="1419328009">
    <w:abstractNumId w:val="23"/>
  </w:num>
  <w:num w:numId="27" w16cid:durableId="1687519031">
    <w:abstractNumId w:val="34"/>
  </w:num>
  <w:num w:numId="28" w16cid:durableId="663629227">
    <w:abstractNumId w:val="3"/>
  </w:num>
  <w:num w:numId="29" w16cid:durableId="479854693">
    <w:abstractNumId w:val="10"/>
  </w:num>
  <w:num w:numId="30" w16cid:durableId="405612660">
    <w:abstractNumId w:val="33"/>
  </w:num>
  <w:num w:numId="31" w16cid:durableId="204492769">
    <w:abstractNumId w:val="9"/>
  </w:num>
  <w:num w:numId="32" w16cid:durableId="1050879305">
    <w:abstractNumId w:val="0"/>
  </w:num>
  <w:num w:numId="33" w16cid:durableId="1581600883">
    <w:abstractNumId w:val="31"/>
  </w:num>
  <w:num w:numId="34" w16cid:durableId="541096114">
    <w:abstractNumId w:val="28"/>
  </w:num>
  <w:num w:numId="35" w16cid:durableId="2012953822">
    <w:abstractNumId w:val="36"/>
  </w:num>
  <w:num w:numId="36" w16cid:durableId="764418934">
    <w:abstractNumId w:val="12"/>
  </w:num>
  <w:num w:numId="37" w16cid:durableId="937954866">
    <w:abstractNumId w:val="27"/>
  </w:num>
  <w:num w:numId="38" w16cid:durableId="1611744473">
    <w:abstractNumId w:val="19"/>
  </w:num>
  <w:num w:numId="39" w16cid:durableId="51393084">
    <w:abstractNumId w:val="39"/>
  </w:num>
  <w:num w:numId="40" w16cid:durableId="174806333">
    <w:abstractNumId w:val="20"/>
  </w:num>
  <w:num w:numId="41" w16cid:durableId="115900599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EAA"/>
    <w:rsid w:val="00024144"/>
    <w:rsid w:val="00024868"/>
    <w:rsid w:val="00026498"/>
    <w:rsid w:val="00037856"/>
    <w:rsid w:val="00042992"/>
    <w:rsid w:val="00044675"/>
    <w:rsid w:val="00045FF7"/>
    <w:rsid w:val="00063611"/>
    <w:rsid w:val="00080ABD"/>
    <w:rsid w:val="0009011B"/>
    <w:rsid w:val="000B5E3C"/>
    <w:rsid w:val="000C0A0D"/>
    <w:rsid w:val="000C1E1B"/>
    <w:rsid w:val="000C33B0"/>
    <w:rsid w:val="000C486A"/>
    <w:rsid w:val="000D030D"/>
    <w:rsid w:val="000E2C14"/>
    <w:rsid w:val="000F1E4D"/>
    <w:rsid w:val="000F65F4"/>
    <w:rsid w:val="000F68CC"/>
    <w:rsid w:val="000F77D3"/>
    <w:rsid w:val="000F7BAE"/>
    <w:rsid w:val="0010185E"/>
    <w:rsid w:val="0012670D"/>
    <w:rsid w:val="0013278B"/>
    <w:rsid w:val="001370B2"/>
    <w:rsid w:val="00142FA7"/>
    <w:rsid w:val="001432C6"/>
    <w:rsid w:val="0014525A"/>
    <w:rsid w:val="00154851"/>
    <w:rsid w:val="0017675C"/>
    <w:rsid w:val="001842CE"/>
    <w:rsid w:val="001927DF"/>
    <w:rsid w:val="001A6BB3"/>
    <w:rsid w:val="001B4875"/>
    <w:rsid w:val="001B6CF2"/>
    <w:rsid w:val="001D03ED"/>
    <w:rsid w:val="001D6584"/>
    <w:rsid w:val="001E689D"/>
    <w:rsid w:val="001F5A5D"/>
    <w:rsid w:val="0021091D"/>
    <w:rsid w:val="0021146B"/>
    <w:rsid w:val="00211A1C"/>
    <w:rsid w:val="00215BE6"/>
    <w:rsid w:val="00233D6C"/>
    <w:rsid w:val="002422AA"/>
    <w:rsid w:val="00246EEC"/>
    <w:rsid w:val="00257652"/>
    <w:rsid w:val="00265390"/>
    <w:rsid w:val="00282786"/>
    <w:rsid w:val="002918EB"/>
    <w:rsid w:val="0029577C"/>
    <w:rsid w:val="002A05E3"/>
    <w:rsid w:val="002A6260"/>
    <w:rsid w:val="002B0D21"/>
    <w:rsid w:val="002B3F0F"/>
    <w:rsid w:val="002B6C8C"/>
    <w:rsid w:val="002B7E1A"/>
    <w:rsid w:val="002F09EA"/>
    <w:rsid w:val="002F580A"/>
    <w:rsid w:val="00304071"/>
    <w:rsid w:val="00305914"/>
    <w:rsid w:val="00310E9D"/>
    <w:rsid w:val="00312E37"/>
    <w:rsid w:val="003258C9"/>
    <w:rsid w:val="003269AA"/>
    <w:rsid w:val="00344A94"/>
    <w:rsid w:val="00364024"/>
    <w:rsid w:val="0036471A"/>
    <w:rsid w:val="00364CFE"/>
    <w:rsid w:val="003A0436"/>
    <w:rsid w:val="003A150B"/>
    <w:rsid w:val="003A189F"/>
    <w:rsid w:val="003A3F20"/>
    <w:rsid w:val="003A57FD"/>
    <w:rsid w:val="003E445B"/>
    <w:rsid w:val="003F42EF"/>
    <w:rsid w:val="00400C9F"/>
    <w:rsid w:val="00401BBF"/>
    <w:rsid w:val="00402F45"/>
    <w:rsid w:val="00411836"/>
    <w:rsid w:val="00423FAB"/>
    <w:rsid w:val="00433FF0"/>
    <w:rsid w:val="00444491"/>
    <w:rsid w:val="00444800"/>
    <w:rsid w:val="00446CB6"/>
    <w:rsid w:val="00450125"/>
    <w:rsid w:val="004670B5"/>
    <w:rsid w:val="004769D3"/>
    <w:rsid w:val="004905CC"/>
    <w:rsid w:val="004930D2"/>
    <w:rsid w:val="004A76ED"/>
    <w:rsid w:val="004C00A3"/>
    <w:rsid w:val="004C5744"/>
    <w:rsid w:val="004F5483"/>
    <w:rsid w:val="004F5D44"/>
    <w:rsid w:val="00504BBC"/>
    <w:rsid w:val="00506CD6"/>
    <w:rsid w:val="00521799"/>
    <w:rsid w:val="00527B60"/>
    <w:rsid w:val="00543EAA"/>
    <w:rsid w:val="005443A8"/>
    <w:rsid w:val="005535BA"/>
    <w:rsid w:val="005572B2"/>
    <w:rsid w:val="00560B26"/>
    <w:rsid w:val="00564658"/>
    <w:rsid w:val="00572235"/>
    <w:rsid w:val="00577A17"/>
    <w:rsid w:val="0059082E"/>
    <w:rsid w:val="005A1DAB"/>
    <w:rsid w:val="005C17DD"/>
    <w:rsid w:val="005C2533"/>
    <w:rsid w:val="005C520C"/>
    <w:rsid w:val="005D6DAD"/>
    <w:rsid w:val="005F2E5A"/>
    <w:rsid w:val="00602DAF"/>
    <w:rsid w:val="0063072C"/>
    <w:rsid w:val="00642E77"/>
    <w:rsid w:val="00652C52"/>
    <w:rsid w:val="00652E66"/>
    <w:rsid w:val="00654A3A"/>
    <w:rsid w:val="00673A8C"/>
    <w:rsid w:val="00687676"/>
    <w:rsid w:val="006A261D"/>
    <w:rsid w:val="006A69D9"/>
    <w:rsid w:val="006B095D"/>
    <w:rsid w:val="006B2F56"/>
    <w:rsid w:val="006B51AF"/>
    <w:rsid w:val="006C2AD1"/>
    <w:rsid w:val="006C6DF8"/>
    <w:rsid w:val="006D5B8F"/>
    <w:rsid w:val="006E00C0"/>
    <w:rsid w:val="006F2682"/>
    <w:rsid w:val="00722656"/>
    <w:rsid w:val="00724F2B"/>
    <w:rsid w:val="007352F1"/>
    <w:rsid w:val="0074671D"/>
    <w:rsid w:val="00755EB3"/>
    <w:rsid w:val="007606E7"/>
    <w:rsid w:val="0076672A"/>
    <w:rsid w:val="0076686F"/>
    <w:rsid w:val="007679EB"/>
    <w:rsid w:val="00774A76"/>
    <w:rsid w:val="00777A30"/>
    <w:rsid w:val="00786562"/>
    <w:rsid w:val="00794D5C"/>
    <w:rsid w:val="007A362A"/>
    <w:rsid w:val="007B2A71"/>
    <w:rsid w:val="007B3953"/>
    <w:rsid w:val="007C47BD"/>
    <w:rsid w:val="007C7149"/>
    <w:rsid w:val="007D70E4"/>
    <w:rsid w:val="007E47A9"/>
    <w:rsid w:val="007F1991"/>
    <w:rsid w:val="007F3B4A"/>
    <w:rsid w:val="00806D58"/>
    <w:rsid w:val="00811E72"/>
    <w:rsid w:val="00823685"/>
    <w:rsid w:val="0082674E"/>
    <w:rsid w:val="00837E2E"/>
    <w:rsid w:val="00840A41"/>
    <w:rsid w:val="0085393A"/>
    <w:rsid w:val="00855973"/>
    <w:rsid w:val="00861158"/>
    <w:rsid w:val="00873435"/>
    <w:rsid w:val="00875E0E"/>
    <w:rsid w:val="00875F83"/>
    <w:rsid w:val="00876105"/>
    <w:rsid w:val="00885296"/>
    <w:rsid w:val="00891C0E"/>
    <w:rsid w:val="008A4BDE"/>
    <w:rsid w:val="008B0E9E"/>
    <w:rsid w:val="008C6395"/>
    <w:rsid w:val="008D0CC7"/>
    <w:rsid w:val="008E2E93"/>
    <w:rsid w:val="009007B3"/>
    <w:rsid w:val="0091791D"/>
    <w:rsid w:val="00927567"/>
    <w:rsid w:val="00927C6B"/>
    <w:rsid w:val="00932B65"/>
    <w:rsid w:val="00933F7C"/>
    <w:rsid w:val="00943A12"/>
    <w:rsid w:val="0096251A"/>
    <w:rsid w:val="0096395C"/>
    <w:rsid w:val="009818D3"/>
    <w:rsid w:val="009819CB"/>
    <w:rsid w:val="009A71A9"/>
    <w:rsid w:val="009B45B5"/>
    <w:rsid w:val="009D0DF1"/>
    <w:rsid w:val="009F5D8F"/>
    <w:rsid w:val="00A0494B"/>
    <w:rsid w:val="00A05800"/>
    <w:rsid w:val="00A11D9E"/>
    <w:rsid w:val="00A17D37"/>
    <w:rsid w:val="00A23877"/>
    <w:rsid w:val="00A462EA"/>
    <w:rsid w:val="00A552CB"/>
    <w:rsid w:val="00A63685"/>
    <w:rsid w:val="00A80D70"/>
    <w:rsid w:val="00A8481A"/>
    <w:rsid w:val="00A85437"/>
    <w:rsid w:val="00A9622E"/>
    <w:rsid w:val="00A97F2C"/>
    <w:rsid w:val="00AC5ED4"/>
    <w:rsid w:val="00AD07F5"/>
    <w:rsid w:val="00AD5916"/>
    <w:rsid w:val="00AD660E"/>
    <w:rsid w:val="00AE04FA"/>
    <w:rsid w:val="00AE0E0F"/>
    <w:rsid w:val="00AE5F0A"/>
    <w:rsid w:val="00B07533"/>
    <w:rsid w:val="00B07CD5"/>
    <w:rsid w:val="00B1233D"/>
    <w:rsid w:val="00B2755C"/>
    <w:rsid w:val="00B40BE7"/>
    <w:rsid w:val="00B42802"/>
    <w:rsid w:val="00B431D1"/>
    <w:rsid w:val="00B4404B"/>
    <w:rsid w:val="00B5381C"/>
    <w:rsid w:val="00B53A6B"/>
    <w:rsid w:val="00B55514"/>
    <w:rsid w:val="00B620EF"/>
    <w:rsid w:val="00B66961"/>
    <w:rsid w:val="00B80BD9"/>
    <w:rsid w:val="00B84890"/>
    <w:rsid w:val="00BA6397"/>
    <w:rsid w:val="00BB2814"/>
    <w:rsid w:val="00BC1465"/>
    <w:rsid w:val="00BC2CD8"/>
    <w:rsid w:val="00BC5CC0"/>
    <w:rsid w:val="00BC7494"/>
    <w:rsid w:val="00BD0536"/>
    <w:rsid w:val="00BE0BD4"/>
    <w:rsid w:val="00BE3101"/>
    <w:rsid w:val="00BF54E7"/>
    <w:rsid w:val="00C45F15"/>
    <w:rsid w:val="00C47175"/>
    <w:rsid w:val="00C519D7"/>
    <w:rsid w:val="00C628DB"/>
    <w:rsid w:val="00C6333F"/>
    <w:rsid w:val="00C63D36"/>
    <w:rsid w:val="00C65F29"/>
    <w:rsid w:val="00C74400"/>
    <w:rsid w:val="00C778B0"/>
    <w:rsid w:val="00C95E49"/>
    <w:rsid w:val="00CB1A52"/>
    <w:rsid w:val="00CC1C1D"/>
    <w:rsid w:val="00CE3362"/>
    <w:rsid w:val="00CF5111"/>
    <w:rsid w:val="00D018E3"/>
    <w:rsid w:val="00D22306"/>
    <w:rsid w:val="00D22ABA"/>
    <w:rsid w:val="00D234D8"/>
    <w:rsid w:val="00D325EC"/>
    <w:rsid w:val="00D41E20"/>
    <w:rsid w:val="00D43522"/>
    <w:rsid w:val="00D501CD"/>
    <w:rsid w:val="00D83028"/>
    <w:rsid w:val="00D965C2"/>
    <w:rsid w:val="00DA0D5D"/>
    <w:rsid w:val="00DA3216"/>
    <w:rsid w:val="00DB4F23"/>
    <w:rsid w:val="00DC4F01"/>
    <w:rsid w:val="00DD0B22"/>
    <w:rsid w:val="00DD127B"/>
    <w:rsid w:val="00DE0671"/>
    <w:rsid w:val="00DE0AE0"/>
    <w:rsid w:val="00DF18F9"/>
    <w:rsid w:val="00DF3F5A"/>
    <w:rsid w:val="00DF68B7"/>
    <w:rsid w:val="00E20AAB"/>
    <w:rsid w:val="00E21B1D"/>
    <w:rsid w:val="00E4105F"/>
    <w:rsid w:val="00E4131B"/>
    <w:rsid w:val="00E4322B"/>
    <w:rsid w:val="00E535C8"/>
    <w:rsid w:val="00E5457F"/>
    <w:rsid w:val="00E61FD5"/>
    <w:rsid w:val="00E64E69"/>
    <w:rsid w:val="00E66BEE"/>
    <w:rsid w:val="00E75F67"/>
    <w:rsid w:val="00E76847"/>
    <w:rsid w:val="00E80C18"/>
    <w:rsid w:val="00E9191C"/>
    <w:rsid w:val="00E92FBE"/>
    <w:rsid w:val="00EA2769"/>
    <w:rsid w:val="00EA6E03"/>
    <w:rsid w:val="00EB0D91"/>
    <w:rsid w:val="00EB573F"/>
    <w:rsid w:val="00EC365B"/>
    <w:rsid w:val="00EC4F8F"/>
    <w:rsid w:val="00EC6B66"/>
    <w:rsid w:val="00ED4252"/>
    <w:rsid w:val="00EE2ABF"/>
    <w:rsid w:val="00EE394F"/>
    <w:rsid w:val="00EE7F32"/>
    <w:rsid w:val="00EF1762"/>
    <w:rsid w:val="00EF318E"/>
    <w:rsid w:val="00F053E0"/>
    <w:rsid w:val="00F11DD2"/>
    <w:rsid w:val="00F163AC"/>
    <w:rsid w:val="00F23D19"/>
    <w:rsid w:val="00F264D0"/>
    <w:rsid w:val="00F335CF"/>
    <w:rsid w:val="00F37CFC"/>
    <w:rsid w:val="00F50281"/>
    <w:rsid w:val="00F57623"/>
    <w:rsid w:val="00F658F4"/>
    <w:rsid w:val="00F91157"/>
    <w:rsid w:val="00FB0F19"/>
    <w:rsid w:val="00FC3258"/>
    <w:rsid w:val="00FC4316"/>
    <w:rsid w:val="00FD05C7"/>
    <w:rsid w:val="00FD1445"/>
    <w:rsid w:val="00FE79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5E038"/>
  <w15:chartTrackingRefBased/>
  <w15:docId w15:val="{A8F7984D-F8B1-4087-9552-50F641F4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A30"/>
    <w:pPr>
      <w:spacing w:line="360" w:lineRule="auto"/>
      <w:jc w:val="both"/>
    </w:pPr>
    <w:rPr>
      <w:rFonts w:ascii="Century Gothic" w:hAnsi="Century Gothic"/>
    </w:rPr>
  </w:style>
  <w:style w:type="paragraph" w:styleId="Ttulo1">
    <w:name w:val="heading 1"/>
    <w:basedOn w:val="Normal"/>
    <w:next w:val="Normal"/>
    <w:link w:val="Ttulo1Car"/>
    <w:uiPriority w:val="9"/>
    <w:qFormat/>
    <w:rsid w:val="009F5D8F"/>
    <w:pPr>
      <w:keepNext/>
      <w:keepLines/>
      <w:spacing w:before="120" w:after="12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9F5D8F"/>
    <w:pPr>
      <w:keepNext/>
      <w:keepLines/>
      <w:spacing w:before="120" w:after="12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F5D8F"/>
    <w:pPr>
      <w:keepNext/>
      <w:keepLines/>
      <w:spacing w:before="120" w:after="12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2F09EA"/>
    <w:pPr>
      <w:keepNext/>
      <w:keepLines/>
      <w:spacing w:before="16" w:after="120"/>
      <w:outlineLvl w:val="3"/>
    </w:pPr>
    <w:rPr>
      <w:rFonts w:eastAsiaTheme="majorEastAsia" w:cstheme="majorBidi"/>
      <w:b/>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5D8F"/>
    <w:rPr>
      <w:rFonts w:ascii="Times New Roman" w:eastAsiaTheme="majorEastAsia" w:hAnsi="Times New Roman" w:cstheme="majorBidi"/>
      <w:b/>
      <w:sz w:val="24"/>
      <w:szCs w:val="32"/>
    </w:rPr>
  </w:style>
  <w:style w:type="paragraph" w:styleId="TtuloTDC">
    <w:name w:val="TOC Heading"/>
    <w:basedOn w:val="Ttulo1"/>
    <w:next w:val="Normal"/>
    <w:uiPriority w:val="39"/>
    <w:unhideWhenUsed/>
    <w:qFormat/>
    <w:rsid w:val="00543EAA"/>
    <w:pPr>
      <w:outlineLvl w:val="9"/>
    </w:pPr>
    <w:rPr>
      <w:lang w:eastAsia="es-CO"/>
    </w:rPr>
  </w:style>
  <w:style w:type="paragraph" w:styleId="Prrafodelista">
    <w:name w:val="List Paragraph"/>
    <w:basedOn w:val="Normal"/>
    <w:uiPriority w:val="34"/>
    <w:qFormat/>
    <w:rsid w:val="00543EAA"/>
    <w:pPr>
      <w:ind w:left="720"/>
      <w:contextualSpacing/>
    </w:pPr>
  </w:style>
  <w:style w:type="character" w:customStyle="1" w:styleId="Ttulo2Car">
    <w:name w:val="Título 2 Car"/>
    <w:basedOn w:val="Fuentedeprrafopredeter"/>
    <w:link w:val="Ttulo2"/>
    <w:uiPriority w:val="9"/>
    <w:rsid w:val="009F5D8F"/>
    <w:rPr>
      <w:rFonts w:ascii="Times New Roman" w:eastAsiaTheme="majorEastAsia" w:hAnsi="Times New Roman" w:cstheme="majorBidi"/>
      <w:b/>
      <w:sz w:val="24"/>
      <w:szCs w:val="26"/>
    </w:rPr>
  </w:style>
  <w:style w:type="table" w:customStyle="1" w:styleId="TableNormal">
    <w:name w:val="Table Normal"/>
    <w:uiPriority w:val="2"/>
    <w:semiHidden/>
    <w:unhideWhenUsed/>
    <w:qFormat/>
    <w:rsid w:val="00543E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3EAA"/>
    <w:pPr>
      <w:widowControl w:val="0"/>
      <w:autoSpaceDE w:val="0"/>
      <w:autoSpaceDN w:val="0"/>
      <w:spacing w:after="0" w:line="240" w:lineRule="auto"/>
      <w:jc w:val="left"/>
    </w:pPr>
    <w:rPr>
      <w:rFonts w:ascii="Calibri" w:eastAsia="Calibri" w:hAnsi="Calibri" w:cs="Calibri"/>
      <w:lang w:val="es-ES" w:eastAsia="es-ES" w:bidi="es-ES"/>
    </w:rPr>
  </w:style>
  <w:style w:type="character" w:styleId="Hipervnculo">
    <w:name w:val="Hyperlink"/>
    <w:basedOn w:val="Fuentedeprrafopredeter"/>
    <w:uiPriority w:val="99"/>
    <w:unhideWhenUsed/>
    <w:rsid w:val="00B66961"/>
    <w:rPr>
      <w:color w:val="0563C1" w:themeColor="hyperlink"/>
      <w:u w:val="single"/>
    </w:rPr>
  </w:style>
  <w:style w:type="character" w:customStyle="1" w:styleId="Mencinsinresolver1">
    <w:name w:val="Mención sin resolver1"/>
    <w:basedOn w:val="Fuentedeprrafopredeter"/>
    <w:uiPriority w:val="99"/>
    <w:semiHidden/>
    <w:unhideWhenUsed/>
    <w:rsid w:val="00B66961"/>
    <w:rPr>
      <w:color w:val="605E5C"/>
      <w:shd w:val="clear" w:color="auto" w:fill="E1DFDD"/>
    </w:rPr>
  </w:style>
  <w:style w:type="table" w:styleId="Tablaconcuadrcula">
    <w:name w:val="Table Grid"/>
    <w:basedOn w:val="Tablanormal"/>
    <w:uiPriority w:val="39"/>
    <w:rsid w:val="00B66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qFormat/>
    <w:rsid w:val="00DF3F5A"/>
    <w:pPr>
      <w:tabs>
        <w:tab w:val="right" w:leader="dot" w:pos="10130"/>
      </w:tabs>
      <w:spacing w:after="100"/>
      <w:jc w:val="center"/>
    </w:pPr>
    <w:rPr>
      <w:rFonts w:cs="Times New Roman"/>
      <w:b/>
      <w:bCs/>
      <w:noProof/>
      <w:szCs w:val="24"/>
    </w:rPr>
  </w:style>
  <w:style w:type="paragraph" w:styleId="TDC2">
    <w:name w:val="toc 2"/>
    <w:basedOn w:val="Normal"/>
    <w:next w:val="Normal"/>
    <w:autoRedefine/>
    <w:uiPriority w:val="39"/>
    <w:unhideWhenUsed/>
    <w:qFormat/>
    <w:rsid w:val="00EC6B66"/>
    <w:pPr>
      <w:tabs>
        <w:tab w:val="right" w:leader="dot" w:pos="9394"/>
      </w:tabs>
      <w:spacing w:after="100"/>
      <w:ind w:left="220"/>
      <w:jc w:val="left"/>
    </w:pPr>
    <w:rPr>
      <w:rFonts w:cs="Times New Roman"/>
      <w:noProof/>
      <w:szCs w:val="24"/>
    </w:rPr>
  </w:style>
  <w:style w:type="table" w:customStyle="1" w:styleId="Casanare1">
    <w:name w:val="Casanare1"/>
    <w:basedOn w:val="Tablanormal"/>
    <w:next w:val="Tablaconcuadrcula"/>
    <w:uiPriority w:val="39"/>
    <w:qFormat/>
    <w:rsid w:val="00B66961"/>
    <w:pPr>
      <w:spacing w:after="0" w:line="240" w:lineRule="auto"/>
    </w:pPr>
    <w:rPr>
      <w:rFonts w:ascii="Calibri" w:eastAsia="Calibri" w:hAnsi="Calibri" w:cs="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uiPriority w:val="39"/>
    <w:qFormat/>
    <w:rsid w:val="00B66961"/>
    <w:pPr>
      <w:widowControl w:val="0"/>
      <w:autoSpaceDE w:val="0"/>
      <w:autoSpaceDN w:val="0"/>
      <w:spacing w:before="122" w:after="0" w:line="240" w:lineRule="auto"/>
      <w:ind w:left="1289" w:hanging="550"/>
      <w:jc w:val="left"/>
    </w:pPr>
    <w:rPr>
      <w:rFonts w:ascii="Calibri" w:eastAsia="Calibri" w:hAnsi="Calibri" w:cs="Calibri"/>
      <w:b/>
      <w:bCs/>
      <w:szCs w:val="24"/>
      <w:lang w:val="es-ES" w:eastAsia="es-ES" w:bidi="es-ES"/>
    </w:rPr>
  </w:style>
  <w:style w:type="paragraph" w:styleId="Textoindependiente">
    <w:name w:val="Body Text"/>
    <w:basedOn w:val="Normal"/>
    <w:link w:val="TextoindependienteCar"/>
    <w:uiPriority w:val="1"/>
    <w:qFormat/>
    <w:rsid w:val="00B66961"/>
    <w:pPr>
      <w:widowControl w:val="0"/>
      <w:autoSpaceDE w:val="0"/>
      <w:autoSpaceDN w:val="0"/>
      <w:spacing w:after="0" w:line="240" w:lineRule="auto"/>
      <w:jc w:val="left"/>
    </w:pPr>
    <w:rPr>
      <w:rFonts w:ascii="Calibri" w:eastAsia="Calibri" w:hAnsi="Calibri" w:cs="Calibri"/>
      <w:szCs w:val="24"/>
      <w:lang w:val="es-ES" w:eastAsia="es-ES" w:bidi="es-ES"/>
    </w:rPr>
  </w:style>
  <w:style w:type="character" w:customStyle="1" w:styleId="TextoindependienteCar">
    <w:name w:val="Texto independiente Car"/>
    <w:basedOn w:val="Fuentedeprrafopredeter"/>
    <w:link w:val="Textoindependiente"/>
    <w:uiPriority w:val="1"/>
    <w:rsid w:val="00B66961"/>
    <w:rPr>
      <w:rFonts w:ascii="Calibri" w:eastAsia="Calibri" w:hAnsi="Calibri" w:cs="Calibri"/>
      <w:sz w:val="24"/>
      <w:szCs w:val="24"/>
      <w:lang w:val="es-ES" w:eastAsia="es-ES" w:bidi="es-ES"/>
    </w:rPr>
  </w:style>
  <w:style w:type="character" w:customStyle="1" w:styleId="Ttulo3Car">
    <w:name w:val="Título 3 Car"/>
    <w:basedOn w:val="Fuentedeprrafopredeter"/>
    <w:link w:val="Ttulo3"/>
    <w:uiPriority w:val="9"/>
    <w:rsid w:val="009F5D8F"/>
    <w:rPr>
      <w:rFonts w:ascii="Times New Roman" w:eastAsiaTheme="majorEastAsia" w:hAnsi="Times New Roman" w:cstheme="majorBidi"/>
      <w:b/>
      <w:i/>
      <w:sz w:val="24"/>
      <w:szCs w:val="24"/>
    </w:rPr>
  </w:style>
  <w:style w:type="character" w:customStyle="1" w:styleId="Ttulo4Car">
    <w:name w:val="Título 4 Car"/>
    <w:basedOn w:val="Fuentedeprrafopredeter"/>
    <w:link w:val="Ttulo4"/>
    <w:uiPriority w:val="9"/>
    <w:rsid w:val="002F09EA"/>
    <w:rPr>
      <w:rFonts w:ascii="Times New Roman" w:eastAsiaTheme="majorEastAsia" w:hAnsi="Times New Roman" w:cstheme="majorBidi"/>
      <w:b/>
      <w:i/>
      <w:iCs/>
      <w:sz w:val="24"/>
    </w:rPr>
  </w:style>
  <w:style w:type="paragraph" w:styleId="Subttulo">
    <w:name w:val="Subtitle"/>
    <w:basedOn w:val="Normal"/>
    <w:next w:val="Normal"/>
    <w:link w:val="SubttuloCar"/>
    <w:uiPriority w:val="11"/>
    <w:qFormat/>
    <w:rsid w:val="00211A1C"/>
    <w:pPr>
      <w:numPr>
        <w:ilvl w:val="1"/>
      </w:numPr>
      <w:ind w:firstLine="284"/>
    </w:pPr>
    <w:rPr>
      <w:rFonts w:asciiTheme="minorHAnsi" w:eastAsiaTheme="minorEastAsia" w:hAnsiTheme="minorHAnsi"/>
      <w:color w:val="5A5A5A" w:themeColor="text1" w:themeTint="A5"/>
      <w:spacing w:val="15"/>
    </w:rPr>
  </w:style>
  <w:style w:type="character" w:customStyle="1" w:styleId="SubttuloCar">
    <w:name w:val="Subtítulo Car"/>
    <w:basedOn w:val="Fuentedeprrafopredeter"/>
    <w:link w:val="Subttulo"/>
    <w:uiPriority w:val="11"/>
    <w:rsid w:val="00211A1C"/>
    <w:rPr>
      <w:rFonts w:eastAsiaTheme="minorEastAsia"/>
      <w:color w:val="5A5A5A" w:themeColor="text1" w:themeTint="A5"/>
      <w:spacing w:val="15"/>
    </w:rPr>
  </w:style>
  <w:style w:type="paragraph" w:styleId="NormalWeb">
    <w:name w:val="Normal (Web)"/>
    <w:basedOn w:val="Normal"/>
    <w:uiPriority w:val="99"/>
    <w:semiHidden/>
    <w:unhideWhenUsed/>
    <w:rsid w:val="00211A1C"/>
    <w:pPr>
      <w:spacing w:before="100" w:beforeAutospacing="1" w:after="100" w:afterAutospacing="1" w:line="240" w:lineRule="auto"/>
      <w:jc w:val="left"/>
    </w:pPr>
    <w:rPr>
      <w:rFonts w:eastAsia="Times New Roman" w:cs="Times New Roman"/>
      <w:szCs w:val="24"/>
      <w:lang w:eastAsia="es-CO"/>
    </w:rPr>
  </w:style>
  <w:style w:type="paragraph" w:styleId="Encabezado">
    <w:name w:val="header"/>
    <w:basedOn w:val="Normal"/>
    <w:link w:val="EncabezadoCar"/>
    <w:uiPriority w:val="99"/>
    <w:unhideWhenUsed/>
    <w:rsid w:val="008267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74E"/>
    <w:rPr>
      <w:rFonts w:ascii="Times New Roman" w:hAnsi="Times New Roman"/>
      <w:sz w:val="24"/>
    </w:rPr>
  </w:style>
  <w:style w:type="paragraph" w:styleId="Piedepgina">
    <w:name w:val="footer"/>
    <w:basedOn w:val="Normal"/>
    <w:link w:val="PiedepginaCar"/>
    <w:uiPriority w:val="99"/>
    <w:unhideWhenUsed/>
    <w:rsid w:val="008267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74E"/>
    <w:rPr>
      <w:rFonts w:ascii="Times New Roman" w:hAnsi="Times New Roman"/>
      <w:sz w:val="24"/>
    </w:rPr>
  </w:style>
  <w:style w:type="paragraph" w:styleId="Descripcin">
    <w:name w:val="caption"/>
    <w:aliases w:val="Epígrafe Car1,Epígrafe Car2,Epígrafe Car3,Epígrafe Car4,Epígrafe Car5,Epígrafe Car6,Epígrafe Car7,Epígrafe Car8,Epígrafe Car9,Epígrafe Car11,Epígrafe Car21,Epígrafe Car31,Epígrafe Car41,Epígrafe Car51,Epígrafe Car61,Epígrafe Car71,Car,A,Car1"/>
    <w:basedOn w:val="Normal"/>
    <w:next w:val="Normal"/>
    <w:link w:val="DescripcinCar"/>
    <w:uiPriority w:val="35"/>
    <w:unhideWhenUsed/>
    <w:qFormat/>
    <w:rsid w:val="00FC3258"/>
    <w:pPr>
      <w:spacing w:after="120" w:line="240" w:lineRule="auto"/>
      <w:jc w:val="left"/>
    </w:pPr>
    <w:rPr>
      <w:iCs/>
      <w:sz w:val="20"/>
      <w:szCs w:val="18"/>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Epígrafe Car41 Car"/>
    <w:link w:val="Descripcin"/>
    <w:uiPriority w:val="35"/>
    <w:rsid w:val="00FC3258"/>
    <w:rPr>
      <w:rFonts w:ascii="Times New Roman" w:hAnsi="Times New Roman"/>
      <w:iCs/>
      <w:sz w:val="20"/>
      <w:szCs w:val="18"/>
    </w:rPr>
  </w:style>
  <w:style w:type="table" w:styleId="Tabladelista2-nfasis6">
    <w:name w:val="List Table 2 Accent 6"/>
    <w:basedOn w:val="Tablanormal"/>
    <w:uiPriority w:val="47"/>
    <w:rsid w:val="00433FF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9345">
      <w:bodyDiv w:val="1"/>
      <w:marLeft w:val="0"/>
      <w:marRight w:val="0"/>
      <w:marTop w:val="0"/>
      <w:marBottom w:val="0"/>
      <w:divBdr>
        <w:top w:val="none" w:sz="0" w:space="0" w:color="auto"/>
        <w:left w:val="none" w:sz="0" w:space="0" w:color="auto"/>
        <w:bottom w:val="none" w:sz="0" w:space="0" w:color="auto"/>
        <w:right w:val="none" w:sz="0" w:space="0" w:color="auto"/>
      </w:divBdr>
    </w:div>
    <w:div w:id="87625093">
      <w:bodyDiv w:val="1"/>
      <w:marLeft w:val="0"/>
      <w:marRight w:val="0"/>
      <w:marTop w:val="0"/>
      <w:marBottom w:val="0"/>
      <w:divBdr>
        <w:top w:val="none" w:sz="0" w:space="0" w:color="auto"/>
        <w:left w:val="none" w:sz="0" w:space="0" w:color="auto"/>
        <w:bottom w:val="none" w:sz="0" w:space="0" w:color="auto"/>
        <w:right w:val="none" w:sz="0" w:space="0" w:color="auto"/>
      </w:divBdr>
    </w:div>
    <w:div w:id="91781593">
      <w:bodyDiv w:val="1"/>
      <w:marLeft w:val="0"/>
      <w:marRight w:val="0"/>
      <w:marTop w:val="0"/>
      <w:marBottom w:val="0"/>
      <w:divBdr>
        <w:top w:val="none" w:sz="0" w:space="0" w:color="auto"/>
        <w:left w:val="none" w:sz="0" w:space="0" w:color="auto"/>
        <w:bottom w:val="none" w:sz="0" w:space="0" w:color="auto"/>
        <w:right w:val="none" w:sz="0" w:space="0" w:color="auto"/>
      </w:divBdr>
    </w:div>
    <w:div w:id="135298991">
      <w:bodyDiv w:val="1"/>
      <w:marLeft w:val="0"/>
      <w:marRight w:val="0"/>
      <w:marTop w:val="0"/>
      <w:marBottom w:val="0"/>
      <w:divBdr>
        <w:top w:val="none" w:sz="0" w:space="0" w:color="auto"/>
        <w:left w:val="none" w:sz="0" w:space="0" w:color="auto"/>
        <w:bottom w:val="none" w:sz="0" w:space="0" w:color="auto"/>
        <w:right w:val="none" w:sz="0" w:space="0" w:color="auto"/>
      </w:divBdr>
    </w:div>
    <w:div w:id="323775620">
      <w:bodyDiv w:val="1"/>
      <w:marLeft w:val="0"/>
      <w:marRight w:val="0"/>
      <w:marTop w:val="0"/>
      <w:marBottom w:val="0"/>
      <w:divBdr>
        <w:top w:val="none" w:sz="0" w:space="0" w:color="auto"/>
        <w:left w:val="none" w:sz="0" w:space="0" w:color="auto"/>
        <w:bottom w:val="none" w:sz="0" w:space="0" w:color="auto"/>
        <w:right w:val="none" w:sz="0" w:space="0" w:color="auto"/>
      </w:divBdr>
    </w:div>
    <w:div w:id="419839047">
      <w:bodyDiv w:val="1"/>
      <w:marLeft w:val="0"/>
      <w:marRight w:val="0"/>
      <w:marTop w:val="0"/>
      <w:marBottom w:val="0"/>
      <w:divBdr>
        <w:top w:val="none" w:sz="0" w:space="0" w:color="auto"/>
        <w:left w:val="none" w:sz="0" w:space="0" w:color="auto"/>
        <w:bottom w:val="none" w:sz="0" w:space="0" w:color="auto"/>
        <w:right w:val="none" w:sz="0" w:space="0" w:color="auto"/>
      </w:divBdr>
    </w:div>
    <w:div w:id="461534440">
      <w:bodyDiv w:val="1"/>
      <w:marLeft w:val="0"/>
      <w:marRight w:val="0"/>
      <w:marTop w:val="0"/>
      <w:marBottom w:val="0"/>
      <w:divBdr>
        <w:top w:val="none" w:sz="0" w:space="0" w:color="auto"/>
        <w:left w:val="none" w:sz="0" w:space="0" w:color="auto"/>
        <w:bottom w:val="none" w:sz="0" w:space="0" w:color="auto"/>
        <w:right w:val="none" w:sz="0" w:space="0" w:color="auto"/>
      </w:divBdr>
    </w:div>
    <w:div w:id="466975077">
      <w:bodyDiv w:val="1"/>
      <w:marLeft w:val="0"/>
      <w:marRight w:val="0"/>
      <w:marTop w:val="0"/>
      <w:marBottom w:val="0"/>
      <w:divBdr>
        <w:top w:val="none" w:sz="0" w:space="0" w:color="auto"/>
        <w:left w:val="none" w:sz="0" w:space="0" w:color="auto"/>
        <w:bottom w:val="none" w:sz="0" w:space="0" w:color="auto"/>
        <w:right w:val="none" w:sz="0" w:space="0" w:color="auto"/>
      </w:divBdr>
    </w:div>
    <w:div w:id="494227054">
      <w:bodyDiv w:val="1"/>
      <w:marLeft w:val="0"/>
      <w:marRight w:val="0"/>
      <w:marTop w:val="0"/>
      <w:marBottom w:val="0"/>
      <w:divBdr>
        <w:top w:val="none" w:sz="0" w:space="0" w:color="auto"/>
        <w:left w:val="none" w:sz="0" w:space="0" w:color="auto"/>
        <w:bottom w:val="none" w:sz="0" w:space="0" w:color="auto"/>
        <w:right w:val="none" w:sz="0" w:space="0" w:color="auto"/>
      </w:divBdr>
    </w:div>
    <w:div w:id="656687249">
      <w:bodyDiv w:val="1"/>
      <w:marLeft w:val="0"/>
      <w:marRight w:val="0"/>
      <w:marTop w:val="0"/>
      <w:marBottom w:val="0"/>
      <w:divBdr>
        <w:top w:val="none" w:sz="0" w:space="0" w:color="auto"/>
        <w:left w:val="none" w:sz="0" w:space="0" w:color="auto"/>
        <w:bottom w:val="none" w:sz="0" w:space="0" w:color="auto"/>
        <w:right w:val="none" w:sz="0" w:space="0" w:color="auto"/>
      </w:divBdr>
    </w:div>
    <w:div w:id="687945332">
      <w:bodyDiv w:val="1"/>
      <w:marLeft w:val="0"/>
      <w:marRight w:val="0"/>
      <w:marTop w:val="0"/>
      <w:marBottom w:val="0"/>
      <w:divBdr>
        <w:top w:val="none" w:sz="0" w:space="0" w:color="auto"/>
        <w:left w:val="none" w:sz="0" w:space="0" w:color="auto"/>
        <w:bottom w:val="none" w:sz="0" w:space="0" w:color="auto"/>
        <w:right w:val="none" w:sz="0" w:space="0" w:color="auto"/>
      </w:divBdr>
    </w:div>
    <w:div w:id="697510591">
      <w:bodyDiv w:val="1"/>
      <w:marLeft w:val="0"/>
      <w:marRight w:val="0"/>
      <w:marTop w:val="0"/>
      <w:marBottom w:val="0"/>
      <w:divBdr>
        <w:top w:val="none" w:sz="0" w:space="0" w:color="auto"/>
        <w:left w:val="none" w:sz="0" w:space="0" w:color="auto"/>
        <w:bottom w:val="none" w:sz="0" w:space="0" w:color="auto"/>
        <w:right w:val="none" w:sz="0" w:space="0" w:color="auto"/>
      </w:divBdr>
    </w:div>
    <w:div w:id="733159845">
      <w:bodyDiv w:val="1"/>
      <w:marLeft w:val="0"/>
      <w:marRight w:val="0"/>
      <w:marTop w:val="0"/>
      <w:marBottom w:val="0"/>
      <w:divBdr>
        <w:top w:val="none" w:sz="0" w:space="0" w:color="auto"/>
        <w:left w:val="none" w:sz="0" w:space="0" w:color="auto"/>
        <w:bottom w:val="none" w:sz="0" w:space="0" w:color="auto"/>
        <w:right w:val="none" w:sz="0" w:space="0" w:color="auto"/>
      </w:divBdr>
    </w:div>
    <w:div w:id="821236304">
      <w:bodyDiv w:val="1"/>
      <w:marLeft w:val="0"/>
      <w:marRight w:val="0"/>
      <w:marTop w:val="0"/>
      <w:marBottom w:val="0"/>
      <w:divBdr>
        <w:top w:val="none" w:sz="0" w:space="0" w:color="auto"/>
        <w:left w:val="none" w:sz="0" w:space="0" w:color="auto"/>
        <w:bottom w:val="none" w:sz="0" w:space="0" w:color="auto"/>
        <w:right w:val="none" w:sz="0" w:space="0" w:color="auto"/>
      </w:divBdr>
    </w:div>
    <w:div w:id="827290494">
      <w:bodyDiv w:val="1"/>
      <w:marLeft w:val="0"/>
      <w:marRight w:val="0"/>
      <w:marTop w:val="0"/>
      <w:marBottom w:val="0"/>
      <w:divBdr>
        <w:top w:val="none" w:sz="0" w:space="0" w:color="auto"/>
        <w:left w:val="none" w:sz="0" w:space="0" w:color="auto"/>
        <w:bottom w:val="none" w:sz="0" w:space="0" w:color="auto"/>
        <w:right w:val="none" w:sz="0" w:space="0" w:color="auto"/>
      </w:divBdr>
    </w:div>
    <w:div w:id="928852318">
      <w:bodyDiv w:val="1"/>
      <w:marLeft w:val="0"/>
      <w:marRight w:val="0"/>
      <w:marTop w:val="0"/>
      <w:marBottom w:val="0"/>
      <w:divBdr>
        <w:top w:val="none" w:sz="0" w:space="0" w:color="auto"/>
        <w:left w:val="none" w:sz="0" w:space="0" w:color="auto"/>
        <w:bottom w:val="none" w:sz="0" w:space="0" w:color="auto"/>
        <w:right w:val="none" w:sz="0" w:space="0" w:color="auto"/>
      </w:divBdr>
    </w:div>
    <w:div w:id="1228300150">
      <w:bodyDiv w:val="1"/>
      <w:marLeft w:val="0"/>
      <w:marRight w:val="0"/>
      <w:marTop w:val="0"/>
      <w:marBottom w:val="0"/>
      <w:divBdr>
        <w:top w:val="none" w:sz="0" w:space="0" w:color="auto"/>
        <w:left w:val="none" w:sz="0" w:space="0" w:color="auto"/>
        <w:bottom w:val="none" w:sz="0" w:space="0" w:color="auto"/>
        <w:right w:val="none" w:sz="0" w:space="0" w:color="auto"/>
      </w:divBdr>
    </w:div>
    <w:div w:id="1279726567">
      <w:bodyDiv w:val="1"/>
      <w:marLeft w:val="0"/>
      <w:marRight w:val="0"/>
      <w:marTop w:val="0"/>
      <w:marBottom w:val="0"/>
      <w:divBdr>
        <w:top w:val="none" w:sz="0" w:space="0" w:color="auto"/>
        <w:left w:val="none" w:sz="0" w:space="0" w:color="auto"/>
        <w:bottom w:val="none" w:sz="0" w:space="0" w:color="auto"/>
        <w:right w:val="none" w:sz="0" w:space="0" w:color="auto"/>
      </w:divBdr>
    </w:div>
    <w:div w:id="1460339429">
      <w:bodyDiv w:val="1"/>
      <w:marLeft w:val="0"/>
      <w:marRight w:val="0"/>
      <w:marTop w:val="0"/>
      <w:marBottom w:val="0"/>
      <w:divBdr>
        <w:top w:val="none" w:sz="0" w:space="0" w:color="auto"/>
        <w:left w:val="none" w:sz="0" w:space="0" w:color="auto"/>
        <w:bottom w:val="none" w:sz="0" w:space="0" w:color="auto"/>
        <w:right w:val="none" w:sz="0" w:space="0" w:color="auto"/>
      </w:divBdr>
    </w:div>
    <w:div w:id="1484346009">
      <w:bodyDiv w:val="1"/>
      <w:marLeft w:val="0"/>
      <w:marRight w:val="0"/>
      <w:marTop w:val="0"/>
      <w:marBottom w:val="0"/>
      <w:divBdr>
        <w:top w:val="none" w:sz="0" w:space="0" w:color="auto"/>
        <w:left w:val="none" w:sz="0" w:space="0" w:color="auto"/>
        <w:bottom w:val="none" w:sz="0" w:space="0" w:color="auto"/>
        <w:right w:val="none" w:sz="0" w:space="0" w:color="auto"/>
      </w:divBdr>
    </w:div>
    <w:div w:id="1532107553">
      <w:bodyDiv w:val="1"/>
      <w:marLeft w:val="0"/>
      <w:marRight w:val="0"/>
      <w:marTop w:val="0"/>
      <w:marBottom w:val="0"/>
      <w:divBdr>
        <w:top w:val="none" w:sz="0" w:space="0" w:color="auto"/>
        <w:left w:val="none" w:sz="0" w:space="0" w:color="auto"/>
        <w:bottom w:val="none" w:sz="0" w:space="0" w:color="auto"/>
        <w:right w:val="none" w:sz="0" w:space="0" w:color="auto"/>
      </w:divBdr>
    </w:div>
    <w:div w:id="1563365865">
      <w:bodyDiv w:val="1"/>
      <w:marLeft w:val="0"/>
      <w:marRight w:val="0"/>
      <w:marTop w:val="0"/>
      <w:marBottom w:val="0"/>
      <w:divBdr>
        <w:top w:val="none" w:sz="0" w:space="0" w:color="auto"/>
        <w:left w:val="none" w:sz="0" w:space="0" w:color="auto"/>
        <w:bottom w:val="none" w:sz="0" w:space="0" w:color="auto"/>
        <w:right w:val="none" w:sz="0" w:space="0" w:color="auto"/>
      </w:divBdr>
    </w:div>
    <w:div w:id="1565605678">
      <w:bodyDiv w:val="1"/>
      <w:marLeft w:val="0"/>
      <w:marRight w:val="0"/>
      <w:marTop w:val="0"/>
      <w:marBottom w:val="0"/>
      <w:divBdr>
        <w:top w:val="none" w:sz="0" w:space="0" w:color="auto"/>
        <w:left w:val="none" w:sz="0" w:space="0" w:color="auto"/>
        <w:bottom w:val="none" w:sz="0" w:space="0" w:color="auto"/>
        <w:right w:val="none" w:sz="0" w:space="0" w:color="auto"/>
      </w:divBdr>
    </w:div>
    <w:div w:id="1570772762">
      <w:bodyDiv w:val="1"/>
      <w:marLeft w:val="0"/>
      <w:marRight w:val="0"/>
      <w:marTop w:val="0"/>
      <w:marBottom w:val="0"/>
      <w:divBdr>
        <w:top w:val="none" w:sz="0" w:space="0" w:color="auto"/>
        <w:left w:val="none" w:sz="0" w:space="0" w:color="auto"/>
        <w:bottom w:val="none" w:sz="0" w:space="0" w:color="auto"/>
        <w:right w:val="none" w:sz="0" w:space="0" w:color="auto"/>
      </w:divBdr>
    </w:div>
    <w:div w:id="1633829851">
      <w:bodyDiv w:val="1"/>
      <w:marLeft w:val="0"/>
      <w:marRight w:val="0"/>
      <w:marTop w:val="0"/>
      <w:marBottom w:val="0"/>
      <w:divBdr>
        <w:top w:val="none" w:sz="0" w:space="0" w:color="auto"/>
        <w:left w:val="none" w:sz="0" w:space="0" w:color="auto"/>
        <w:bottom w:val="none" w:sz="0" w:space="0" w:color="auto"/>
        <w:right w:val="none" w:sz="0" w:space="0" w:color="auto"/>
      </w:divBdr>
    </w:div>
    <w:div w:id="1705667420">
      <w:bodyDiv w:val="1"/>
      <w:marLeft w:val="0"/>
      <w:marRight w:val="0"/>
      <w:marTop w:val="0"/>
      <w:marBottom w:val="0"/>
      <w:divBdr>
        <w:top w:val="none" w:sz="0" w:space="0" w:color="auto"/>
        <w:left w:val="none" w:sz="0" w:space="0" w:color="auto"/>
        <w:bottom w:val="none" w:sz="0" w:space="0" w:color="auto"/>
        <w:right w:val="none" w:sz="0" w:space="0" w:color="auto"/>
      </w:divBdr>
    </w:div>
    <w:div w:id="1732734224">
      <w:bodyDiv w:val="1"/>
      <w:marLeft w:val="0"/>
      <w:marRight w:val="0"/>
      <w:marTop w:val="0"/>
      <w:marBottom w:val="0"/>
      <w:divBdr>
        <w:top w:val="none" w:sz="0" w:space="0" w:color="auto"/>
        <w:left w:val="none" w:sz="0" w:space="0" w:color="auto"/>
        <w:bottom w:val="none" w:sz="0" w:space="0" w:color="auto"/>
        <w:right w:val="none" w:sz="0" w:space="0" w:color="auto"/>
      </w:divBdr>
    </w:div>
    <w:div w:id="1781802590">
      <w:bodyDiv w:val="1"/>
      <w:marLeft w:val="0"/>
      <w:marRight w:val="0"/>
      <w:marTop w:val="0"/>
      <w:marBottom w:val="0"/>
      <w:divBdr>
        <w:top w:val="none" w:sz="0" w:space="0" w:color="auto"/>
        <w:left w:val="none" w:sz="0" w:space="0" w:color="auto"/>
        <w:bottom w:val="none" w:sz="0" w:space="0" w:color="auto"/>
        <w:right w:val="none" w:sz="0" w:space="0" w:color="auto"/>
      </w:divBdr>
    </w:div>
    <w:div w:id="1923907112">
      <w:bodyDiv w:val="1"/>
      <w:marLeft w:val="0"/>
      <w:marRight w:val="0"/>
      <w:marTop w:val="0"/>
      <w:marBottom w:val="0"/>
      <w:divBdr>
        <w:top w:val="none" w:sz="0" w:space="0" w:color="auto"/>
        <w:left w:val="none" w:sz="0" w:space="0" w:color="auto"/>
        <w:bottom w:val="none" w:sz="0" w:space="0" w:color="auto"/>
        <w:right w:val="none" w:sz="0" w:space="0" w:color="auto"/>
      </w:divBdr>
    </w:div>
    <w:div w:id="214218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8C758D-27B8-4ABA-AEB9-B6C3FDDDC784}" type="doc">
      <dgm:prSet loTypeId="urn:microsoft.com/office/officeart/2005/8/layout/cycle3" loCatId="cycle" qsTypeId="urn:microsoft.com/office/officeart/2005/8/quickstyle/simple1" qsCatId="simple" csTypeId="urn:microsoft.com/office/officeart/2005/8/colors/accent2_3" csCatId="accent2" phldr="1"/>
      <dgm:spPr/>
      <dgm:t>
        <a:bodyPr/>
        <a:lstStyle/>
        <a:p>
          <a:endParaRPr lang="es-ES"/>
        </a:p>
      </dgm:t>
    </dgm:pt>
    <dgm:pt modelId="{1F5C5F48-D945-474C-B25D-6BB0D825BCAF}">
      <dgm:prSet phldrT="[Texto]" custT="1"/>
      <dgm:spPr/>
      <dgm:t>
        <a:bodyPr/>
        <a:lstStyle/>
        <a:p>
          <a:r>
            <a:rPr lang="es-ES" sz="1050">
              <a:latin typeface="Century Gothic" panose="020B0502020202020204" pitchFamily="34" charset="0"/>
            </a:rPr>
            <a:t>1. Analizar la capacidad institucional</a:t>
          </a:r>
        </a:p>
      </dgm:t>
    </dgm:pt>
    <dgm:pt modelId="{A92D67A3-E518-4771-9F1F-A095B02AA6DA}" type="parTrans" cxnId="{C895F024-5598-49C1-800F-B4016C1E3D7C}">
      <dgm:prSet/>
      <dgm:spPr/>
      <dgm:t>
        <a:bodyPr/>
        <a:lstStyle/>
        <a:p>
          <a:endParaRPr lang="es-ES" sz="1050">
            <a:latin typeface="Century Gothic" panose="020B0502020202020204" pitchFamily="34" charset="0"/>
          </a:endParaRPr>
        </a:p>
      </dgm:t>
    </dgm:pt>
    <dgm:pt modelId="{79568D42-F87C-4ADD-86C8-BCF662989D04}" type="sibTrans" cxnId="{C895F024-5598-49C1-800F-B4016C1E3D7C}">
      <dgm:prSet/>
      <dgm:spPr/>
      <dgm:t>
        <a:bodyPr/>
        <a:lstStyle/>
        <a:p>
          <a:endParaRPr lang="es-ES" sz="1050">
            <a:latin typeface="Century Gothic" panose="020B0502020202020204" pitchFamily="34" charset="0"/>
          </a:endParaRPr>
        </a:p>
      </dgm:t>
    </dgm:pt>
    <dgm:pt modelId="{458BB69E-EA77-4D41-AD67-4FA0BA46B053}">
      <dgm:prSet phldrT="[Texto]" custT="1"/>
      <dgm:spPr/>
      <dgm:t>
        <a:bodyPr/>
        <a:lstStyle/>
        <a:p>
          <a:r>
            <a:rPr lang="es-ES" sz="1050">
              <a:latin typeface="Century Gothic" panose="020B0502020202020204" pitchFamily="34" charset="0"/>
            </a:rPr>
            <a:t>2. Conformar el equipo de trabajo</a:t>
          </a:r>
        </a:p>
      </dgm:t>
    </dgm:pt>
    <dgm:pt modelId="{CC2E0507-C9F7-4130-ADED-ACE951D02F58}" type="parTrans" cxnId="{D4732E14-DCE2-49B5-B656-4FD5C2248296}">
      <dgm:prSet/>
      <dgm:spPr/>
      <dgm:t>
        <a:bodyPr/>
        <a:lstStyle/>
        <a:p>
          <a:endParaRPr lang="es-ES" sz="1050">
            <a:latin typeface="Century Gothic" panose="020B0502020202020204" pitchFamily="34" charset="0"/>
          </a:endParaRPr>
        </a:p>
      </dgm:t>
    </dgm:pt>
    <dgm:pt modelId="{A4E4EE8F-C587-4982-B230-B3174B091388}" type="sibTrans" cxnId="{D4732E14-DCE2-49B5-B656-4FD5C2248296}">
      <dgm:prSet/>
      <dgm:spPr/>
      <dgm:t>
        <a:bodyPr/>
        <a:lstStyle/>
        <a:p>
          <a:endParaRPr lang="es-ES" sz="1050">
            <a:latin typeface="Century Gothic" panose="020B0502020202020204" pitchFamily="34" charset="0"/>
          </a:endParaRPr>
        </a:p>
      </dgm:t>
    </dgm:pt>
    <dgm:pt modelId="{726D4567-5259-4D9A-828C-C3B0DD7C840C}">
      <dgm:prSet phldrT="[Texto]" custT="1"/>
      <dgm:spPr/>
      <dgm:t>
        <a:bodyPr/>
        <a:lstStyle/>
        <a:p>
          <a:r>
            <a:rPr lang="es-ES" sz="1050">
              <a:latin typeface="Century Gothic" panose="020B0502020202020204" pitchFamily="34" charset="0"/>
            </a:rPr>
            <a:t>3. Diseñar una estratégia de participación </a:t>
          </a:r>
        </a:p>
      </dgm:t>
    </dgm:pt>
    <dgm:pt modelId="{B888FFEF-665D-4D4D-B014-AC7C1DE8BBDA}" type="parTrans" cxnId="{6477C4CB-C5B1-4483-BDD5-846445C4F672}">
      <dgm:prSet/>
      <dgm:spPr/>
      <dgm:t>
        <a:bodyPr/>
        <a:lstStyle/>
        <a:p>
          <a:endParaRPr lang="es-ES" sz="1050">
            <a:latin typeface="Century Gothic" panose="020B0502020202020204" pitchFamily="34" charset="0"/>
          </a:endParaRPr>
        </a:p>
      </dgm:t>
    </dgm:pt>
    <dgm:pt modelId="{2527D142-0EE5-443C-93FF-41B717F48888}" type="sibTrans" cxnId="{6477C4CB-C5B1-4483-BDD5-846445C4F672}">
      <dgm:prSet/>
      <dgm:spPr/>
      <dgm:t>
        <a:bodyPr/>
        <a:lstStyle/>
        <a:p>
          <a:endParaRPr lang="es-ES" sz="1050">
            <a:latin typeface="Century Gothic" panose="020B0502020202020204" pitchFamily="34" charset="0"/>
          </a:endParaRPr>
        </a:p>
      </dgm:t>
    </dgm:pt>
    <dgm:pt modelId="{5A49BC0C-9F0D-449A-A668-B80726726DA2}">
      <dgm:prSet phldrT="[Texto]" custT="1"/>
      <dgm:spPr/>
      <dgm:t>
        <a:bodyPr/>
        <a:lstStyle/>
        <a:p>
          <a:r>
            <a:rPr lang="es-ES" sz="1050">
              <a:latin typeface="Century Gothic" panose="020B0502020202020204" pitchFamily="34" charset="0"/>
            </a:rPr>
            <a:t>4. Recolectar la información necesaria</a:t>
          </a:r>
        </a:p>
      </dgm:t>
    </dgm:pt>
    <dgm:pt modelId="{821B4DCD-BACC-4B58-8A29-A281B5D32956}" type="parTrans" cxnId="{DDD76D9F-525E-4B1B-8984-8BF9CEC05F7B}">
      <dgm:prSet/>
      <dgm:spPr/>
      <dgm:t>
        <a:bodyPr/>
        <a:lstStyle/>
        <a:p>
          <a:endParaRPr lang="es-ES" sz="1050">
            <a:latin typeface="Century Gothic" panose="020B0502020202020204" pitchFamily="34" charset="0"/>
          </a:endParaRPr>
        </a:p>
      </dgm:t>
    </dgm:pt>
    <dgm:pt modelId="{3EFB1A4B-5CB5-4F07-BEC5-1C11550F1EEE}" type="sibTrans" cxnId="{DDD76D9F-525E-4B1B-8984-8BF9CEC05F7B}">
      <dgm:prSet/>
      <dgm:spPr/>
      <dgm:t>
        <a:bodyPr/>
        <a:lstStyle/>
        <a:p>
          <a:endParaRPr lang="es-ES" sz="1050">
            <a:latin typeface="Century Gothic" panose="020B0502020202020204" pitchFamily="34" charset="0"/>
          </a:endParaRPr>
        </a:p>
      </dgm:t>
    </dgm:pt>
    <dgm:pt modelId="{44ACC1B0-62BE-4EEA-A144-BCFA1DDAC461}">
      <dgm:prSet phldrT="[Texto]" custT="1"/>
      <dgm:spPr/>
      <dgm:t>
        <a:bodyPr/>
        <a:lstStyle/>
        <a:p>
          <a:r>
            <a:rPr lang="es-ES" sz="1050">
              <a:latin typeface="Century Gothic" panose="020B0502020202020204" pitchFamily="34" charset="0"/>
            </a:rPr>
            <a:t>5. Evaluar el esquema vigente </a:t>
          </a:r>
        </a:p>
      </dgm:t>
    </dgm:pt>
    <dgm:pt modelId="{D7BD96A6-82E3-4B04-B9B6-9D91556E9D99}" type="parTrans" cxnId="{B75EB155-39DF-4E24-AB52-524CE6599656}">
      <dgm:prSet/>
      <dgm:spPr/>
      <dgm:t>
        <a:bodyPr/>
        <a:lstStyle/>
        <a:p>
          <a:endParaRPr lang="es-ES" sz="1050">
            <a:latin typeface="Century Gothic" panose="020B0502020202020204" pitchFamily="34" charset="0"/>
          </a:endParaRPr>
        </a:p>
      </dgm:t>
    </dgm:pt>
    <dgm:pt modelId="{EE3FDBA9-8101-47D9-8248-1633EE969134}" type="sibTrans" cxnId="{B75EB155-39DF-4E24-AB52-524CE6599656}">
      <dgm:prSet/>
      <dgm:spPr/>
      <dgm:t>
        <a:bodyPr/>
        <a:lstStyle/>
        <a:p>
          <a:endParaRPr lang="es-ES" sz="1050">
            <a:latin typeface="Century Gothic" panose="020B0502020202020204" pitchFamily="34" charset="0"/>
          </a:endParaRPr>
        </a:p>
      </dgm:t>
    </dgm:pt>
    <dgm:pt modelId="{D39EA091-5E74-4D16-84D3-6E60F63BE1F6}" type="pres">
      <dgm:prSet presAssocID="{C18C758D-27B8-4ABA-AEB9-B6C3FDDDC784}" presName="Name0" presStyleCnt="0">
        <dgm:presLayoutVars>
          <dgm:dir/>
          <dgm:resizeHandles val="exact"/>
        </dgm:presLayoutVars>
      </dgm:prSet>
      <dgm:spPr/>
    </dgm:pt>
    <dgm:pt modelId="{96EBD496-6CF7-40D3-BC21-E15CB12332FB}" type="pres">
      <dgm:prSet presAssocID="{C18C758D-27B8-4ABA-AEB9-B6C3FDDDC784}" presName="cycle" presStyleCnt="0"/>
      <dgm:spPr/>
    </dgm:pt>
    <dgm:pt modelId="{40F2C42F-92E1-44EB-828A-F65DFE5B91FF}" type="pres">
      <dgm:prSet presAssocID="{1F5C5F48-D945-474C-B25D-6BB0D825BCAF}" presName="nodeFirstNode" presStyleLbl="node1" presStyleIdx="0" presStyleCnt="5">
        <dgm:presLayoutVars>
          <dgm:bulletEnabled val="1"/>
        </dgm:presLayoutVars>
      </dgm:prSet>
      <dgm:spPr/>
    </dgm:pt>
    <dgm:pt modelId="{7A16E188-E505-4AE1-A997-D4E19CA1B736}" type="pres">
      <dgm:prSet presAssocID="{79568D42-F87C-4ADD-86C8-BCF662989D04}" presName="sibTransFirstNode" presStyleLbl="bgShp" presStyleIdx="0" presStyleCnt="1"/>
      <dgm:spPr/>
    </dgm:pt>
    <dgm:pt modelId="{5DDF7E25-CC77-4051-9A53-28671A93D7AE}" type="pres">
      <dgm:prSet presAssocID="{458BB69E-EA77-4D41-AD67-4FA0BA46B053}" presName="nodeFollowingNodes" presStyleLbl="node1" presStyleIdx="1" presStyleCnt="5">
        <dgm:presLayoutVars>
          <dgm:bulletEnabled val="1"/>
        </dgm:presLayoutVars>
      </dgm:prSet>
      <dgm:spPr/>
    </dgm:pt>
    <dgm:pt modelId="{165335E1-2B58-40A6-9FDD-0419F74B0DCF}" type="pres">
      <dgm:prSet presAssocID="{726D4567-5259-4D9A-828C-C3B0DD7C840C}" presName="nodeFollowingNodes" presStyleLbl="node1" presStyleIdx="2" presStyleCnt="5">
        <dgm:presLayoutVars>
          <dgm:bulletEnabled val="1"/>
        </dgm:presLayoutVars>
      </dgm:prSet>
      <dgm:spPr/>
    </dgm:pt>
    <dgm:pt modelId="{78FA360B-3DE9-4754-9685-83355FFFA51D}" type="pres">
      <dgm:prSet presAssocID="{5A49BC0C-9F0D-449A-A668-B80726726DA2}" presName="nodeFollowingNodes" presStyleLbl="node1" presStyleIdx="3" presStyleCnt="5">
        <dgm:presLayoutVars>
          <dgm:bulletEnabled val="1"/>
        </dgm:presLayoutVars>
      </dgm:prSet>
      <dgm:spPr/>
    </dgm:pt>
    <dgm:pt modelId="{3888FD03-DE2F-4100-B07A-33841F4361D3}" type="pres">
      <dgm:prSet presAssocID="{44ACC1B0-62BE-4EEA-A144-BCFA1DDAC461}" presName="nodeFollowingNodes" presStyleLbl="node1" presStyleIdx="4" presStyleCnt="5">
        <dgm:presLayoutVars>
          <dgm:bulletEnabled val="1"/>
        </dgm:presLayoutVars>
      </dgm:prSet>
      <dgm:spPr/>
    </dgm:pt>
  </dgm:ptLst>
  <dgm:cxnLst>
    <dgm:cxn modelId="{A0F74C0B-E9AB-4988-9DDD-EED1D2789E51}" type="presOf" srcId="{C18C758D-27B8-4ABA-AEB9-B6C3FDDDC784}" destId="{D39EA091-5E74-4D16-84D3-6E60F63BE1F6}" srcOrd="0" destOrd="0" presId="urn:microsoft.com/office/officeart/2005/8/layout/cycle3"/>
    <dgm:cxn modelId="{D4732E14-DCE2-49B5-B656-4FD5C2248296}" srcId="{C18C758D-27B8-4ABA-AEB9-B6C3FDDDC784}" destId="{458BB69E-EA77-4D41-AD67-4FA0BA46B053}" srcOrd="1" destOrd="0" parTransId="{CC2E0507-C9F7-4130-ADED-ACE951D02F58}" sibTransId="{A4E4EE8F-C587-4982-B230-B3174B091388}"/>
    <dgm:cxn modelId="{2B3B8522-01FE-4C0B-A3AE-083C24B2D542}" type="presOf" srcId="{5A49BC0C-9F0D-449A-A668-B80726726DA2}" destId="{78FA360B-3DE9-4754-9685-83355FFFA51D}" srcOrd="0" destOrd="0" presId="urn:microsoft.com/office/officeart/2005/8/layout/cycle3"/>
    <dgm:cxn modelId="{C895F024-5598-49C1-800F-B4016C1E3D7C}" srcId="{C18C758D-27B8-4ABA-AEB9-B6C3FDDDC784}" destId="{1F5C5F48-D945-474C-B25D-6BB0D825BCAF}" srcOrd="0" destOrd="0" parTransId="{A92D67A3-E518-4771-9F1F-A095B02AA6DA}" sibTransId="{79568D42-F87C-4ADD-86C8-BCF662989D04}"/>
    <dgm:cxn modelId="{B75EB155-39DF-4E24-AB52-524CE6599656}" srcId="{C18C758D-27B8-4ABA-AEB9-B6C3FDDDC784}" destId="{44ACC1B0-62BE-4EEA-A144-BCFA1DDAC461}" srcOrd="4" destOrd="0" parTransId="{D7BD96A6-82E3-4B04-B9B6-9D91556E9D99}" sibTransId="{EE3FDBA9-8101-47D9-8248-1633EE969134}"/>
    <dgm:cxn modelId="{1C793857-6998-4CC1-90C3-3EF9DECF2F36}" type="presOf" srcId="{726D4567-5259-4D9A-828C-C3B0DD7C840C}" destId="{165335E1-2B58-40A6-9FDD-0419F74B0DCF}" srcOrd="0" destOrd="0" presId="urn:microsoft.com/office/officeart/2005/8/layout/cycle3"/>
    <dgm:cxn modelId="{CB7D9F91-B1CA-4A41-A71D-3BE5E141469D}" type="presOf" srcId="{79568D42-F87C-4ADD-86C8-BCF662989D04}" destId="{7A16E188-E505-4AE1-A997-D4E19CA1B736}" srcOrd="0" destOrd="0" presId="urn:microsoft.com/office/officeart/2005/8/layout/cycle3"/>
    <dgm:cxn modelId="{DDD76D9F-525E-4B1B-8984-8BF9CEC05F7B}" srcId="{C18C758D-27B8-4ABA-AEB9-B6C3FDDDC784}" destId="{5A49BC0C-9F0D-449A-A668-B80726726DA2}" srcOrd="3" destOrd="0" parTransId="{821B4DCD-BACC-4B58-8A29-A281B5D32956}" sibTransId="{3EFB1A4B-5CB5-4F07-BEC5-1C11550F1EEE}"/>
    <dgm:cxn modelId="{6477C4CB-C5B1-4483-BDD5-846445C4F672}" srcId="{C18C758D-27B8-4ABA-AEB9-B6C3FDDDC784}" destId="{726D4567-5259-4D9A-828C-C3B0DD7C840C}" srcOrd="2" destOrd="0" parTransId="{B888FFEF-665D-4D4D-B014-AC7C1DE8BBDA}" sibTransId="{2527D142-0EE5-443C-93FF-41B717F48888}"/>
    <dgm:cxn modelId="{A52984DB-EF30-49CD-9726-86BE1AAA9F95}" type="presOf" srcId="{44ACC1B0-62BE-4EEA-A144-BCFA1DDAC461}" destId="{3888FD03-DE2F-4100-B07A-33841F4361D3}" srcOrd="0" destOrd="0" presId="urn:microsoft.com/office/officeart/2005/8/layout/cycle3"/>
    <dgm:cxn modelId="{749B28FD-5BB0-4EF8-A26D-F06E373DB61C}" type="presOf" srcId="{1F5C5F48-D945-474C-B25D-6BB0D825BCAF}" destId="{40F2C42F-92E1-44EB-828A-F65DFE5B91FF}" srcOrd="0" destOrd="0" presId="urn:microsoft.com/office/officeart/2005/8/layout/cycle3"/>
    <dgm:cxn modelId="{2DF805FE-97D6-4119-96FB-5CBAA47D877B}" type="presOf" srcId="{458BB69E-EA77-4D41-AD67-4FA0BA46B053}" destId="{5DDF7E25-CC77-4051-9A53-28671A93D7AE}" srcOrd="0" destOrd="0" presId="urn:microsoft.com/office/officeart/2005/8/layout/cycle3"/>
    <dgm:cxn modelId="{43C682FC-2FEF-48B5-BF44-5D8A4964817E}" type="presParOf" srcId="{D39EA091-5E74-4D16-84D3-6E60F63BE1F6}" destId="{96EBD496-6CF7-40D3-BC21-E15CB12332FB}" srcOrd="0" destOrd="0" presId="urn:microsoft.com/office/officeart/2005/8/layout/cycle3"/>
    <dgm:cxn modelId="{599E3FF1-84E1-4E14-AB1E-98D56CDA74CD}" type="presParOf" srcId="{96EBD496-6CF7-40D3-BC21-E15CB12332FB}" destId="{40F2C42F-92E1-44EB-828A-F65DFE5B91FF}" srcOrd="0" destOrd="0" presId="urn:microsoft.com/office/officeart/2005/8/layout/cycle3"/>
    <dgm:cxn modelId="{334AF23B-9CB2-4875-9241-45022F51ACB4}" type="presParOf" srcId="{96EBD496-6CF7-40D3-BC21-E15CB12332FB}" destId="{7A16E188-E505-4AE1-A997-D4E19CA1B736}" srcOrd="1" destOrd="0" presId="urn:microsoft.com/office/officeart/2005/8/layout/cycle3"/>
    <dgm:cxn modelId="{6D904F4B-5B29-4903-A6B2-E714DC09518A}" type="presParOf" srcId="{96EBD496-6CF7-40D3-BC21-E15CB12332FB}" destId="{5DDF7E25-CC77-4051-9A53-28671A93D7AE}" srcOrd="2" destOrd="0" presId="urn:microsoft.com/office/officeart/2005/8/layout/cycle3"/>
    <dgm:cxn modelId="{9E991D38-2348-408D-AD7E-71B4EEAB89DD}" type="presParOf" srcId="{96EBD496-6CF7-40D3-BC21-E15CB12332FB}" destId="{165335E1-2B58-40A6-9FDD-0419F74B0DCF}" srcOrd="3" destOrd="0" presId="urn:microsoft.com/office/officeart/2005/8/layout/cycle3"/>
    <dgm:cxn modelId="{F46690F0-5F69-412C-B460-A3C3A6692F09}" type="presParOf" srcId="{96EBD496-6CF7-40D3-BC21-E15CB12332FB}" destId="{78FA360B-3DE9-4754-9685-83355FFFA51D}" srcOrd="4" destOrd="0" presId="urn:microsoft.com/office/officeart/2005/8/layout/cycle3"/>
    <dgm:cxn modelId="{D9176694-15DB-4AB1-9045-DDE3F0AE5110}" type="presParOf" srcId="{96EBD496-6CF7-40D3-BC21-E15CB12332FB}" destId="{3888FD03-DE2F-4100-B07A-33841F4361D3}"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16E188-E505-4AE1-A997-D4E19CA1B736}">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0F2C42F-92E1-44EB-828A-F65DFE5B91FF}">
      <dsp:nvSpPr>
        <dsp:cNvPr id="0" name=""/>
        <dsp:cNvSpPr/>
      </dsp:nvSpPr>
      <dsp:spPr>
        <a:xfrm>
          <a:off x="2013198" y="691"/>
          <a:ext cx="1460003" cy="730001"/>
        </a:xfrm>
        <a:prstGeom prst="round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S" sz="1050" kern="1200">
              <a:latin typeface="Century Gothic" panose="020B0502020202020204" pitchFamily="34" charset="0"/>
            </a:rPr>
            <a:t>1. Analizar la capacidad institucional</a:t>
          </a:r>
        </a:p>
      </dsp:txBody>
      <dsp:txXfrm>
        <a:off x="2048834" y="36327"/>
        <a:ext cx="1388731" cy="658729"/>
      </dsp:txXfrm>
    </dsp:sp>
    <dsp:sp modelId="{5DDF7E25-CC77-4051-9A53-28671A93D7AE}">
      <dsp:nvSpPr>
        <dsp:cNvPr id="0" name=""/>
        <dsp:cNvSpPr/>
      </dsp:nvSpPr>
      <dsp:spPr>
        <a:xfrm>
          <a:off x="3311236" y="943771"/>
          <a:ext cx="1460003" cy="730001"/>
        </a:xfrm>
        <a:prstGeom prst="roundRect">
          <a:avLst/>
        </a:prstGeom>
        <a:solidFill>
          <a:schemeClr val="accent2">
            <a:shade val="80000"/>
            <a:hueOff val="-120354"/>
            <a:satOff val="2542"/>
            <a:lumOff val="677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S" sz="1050" kern="1200">
              <a:latin typeface="Century Gothic" panose="020B0502020202020204" pitchFamily="34" charset="0"/>
            </a:rPr>
            <a:t>2. Conformar el equipo de trabajo</a:t>
          </a:r>
        </a:p>
      </dsp:txBody>
      <dsp:txXfrm>
        <a:off x="3346872" y="979407"/>
        <a:ext cx="1388731" cy="658729"/>
      </dsp:txXfrm>
    </dsp:sp>
    <dsp:sp modelId="{165335E1-2B58-40A6-9FDD-0419F74B0DCF}">
      <dsp:nvSpPr>
        <dsp:cNvPr id="0" name=""/>
        <dsp:cNvSpPr/>
      </dsp:nvSpPr>
      <dsp:spPr>
        <a:xfrm>
          <a:off x="2815429" y="2469707"/>
          <a:ext cx="1460003" cy="730001"/>
        </a:xfrm>
        <a:prstGeom prst="roundRect">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S" sz="1050" kern="1200">
              <a:latin typeface="Century Gothic" panose="020B0502020202020204" pitchFamily="34" charset="0"/>
            </a:rPr>
            <a:t>3. Diseñar una estratégia de participación </a:t>
          </a:r>
        </a:p>
      </dsp:txBody>
      <dsp:txXfrm>
        <a:off x="2851065" y="2505343"/>
        <a:ext cx="1388731" cy="658729"/>
      </dsp:txXfrm>
    </dsp:sp>
    <dsp:sp modelId="{78FA360B-3DE9-4754-9685-83355FFFA51D}">
      <dsp:nvSpPr>
        <dsp:cNvPr id="0" name=""/>
        <dsp:cNvSpPr/>
      </dsp:nvSpPr>
      <dsp:spPr>
        <a:xfrm>
          <a:off x="1210966" y="2469707"/>
          <a:ext cx="1460003" cy="730001"/>
        </a:xfrm>
        <a:prstGeom prst="roundRect">
          <a:avLst/>
        </a:prstGeom>
        <a:solidFill>
          <a:schemeClr val="accent2">
            <a:shade val="80000"/>
            <a:hueOff val="-361061"/>
            <a:satOff val="7625"/>
            <a:lumOff val="203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S" sz="1050" kern="1200">
              <a:latin typeface="Century Gothic" panose="020B0502020202020204" pitchFamily="34" charset="0"/>
            </a:rPr>
            <a:t>4. Recolectar la información necesaria</a:t>
          </a:r>
        </a:p>
      </dsp:txBody>
      <dsp:txXfrm>
        <a:off x="1246602" y="2505343"/>
        <a:ext cx="1388731" cy="658729"/>
      </dsp:txXfrm>
    </dsp:sp>
    <dsp:sp modelId="{3888FD03-DE2F-4100-B07A-33841F4361D3}">
      <dsp:nvSpPr>
        <dsp:cNvPr id="0" name=""/>
        <dsp:cNvSpPr/>
      </dsp:nvSpPr>
      <dsp:spPr>
        <a:xfrm>
          <a:off x="715159" y="943771"/>
          <a:ext cx="1460003" cy="730001"/>
        </a:xfrm>
        <a:prstGeom prst="round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S" sz="1050" kern="1200">
              <a:latin typeface="Century Gothic" panose="020B0502020202020204" pitchFamily="34" charset="0"/>
            </a:rPr>
            <a:t>5. Evaluar el esquema vigente </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Sec15</b:Tag>
    <b:SourceType>Report</b:SourceType>
    <b:Guid>{02541C85-5472-43D1-A7FC-6AFD8C1CAF9D}</b:Guid>
    <b:Author>
      <b:Author>
        <b:Corporate>Secretaría de Planeación Distrital</b:Corporate>
      </b:Author>
    </b:Author>
    <b:Title>Programa de asistencia técnica recíproca del distrito capital</b:Title>
    <b:Year>2015</b:Year>
    <b:City>Bogotá</b:City>
    <b:Institution>Alcaldía Mayor de Bogotá D.C.</b:Institution>
    <b:RefOrder>11</b:RefOrder>
  </b:Source>
  <b:Source>
    <b:Tag>Min08</b:Tag>
    <b:SourceType>Book</b:SourceType>
    <b:Guid>{6B3B92AC-48AA-4E3F-85DB-167332DD921C}</b:Guid>
    <b:Title>Licenciamiento urbanístico, reconocimiento de edificaciones y legalización de asentamientos humanos</b:Title>
    <b:Year>2008</b:Year>
    <b:City>Bogotá</b:City>
    <b:Author>
      <b:Author>
        <b:Corporate>Ministerio de Ambiente, Vivienda y Desarrollo Territorial</b:Corporate>
      </b:Author>
    </b:Author>
    <b:URL>https://www.minvivienda.gov.co/sites/default/files/2020-07/licenciamiento-urbanistico-reconocimiento-y-legalizacion-asentamientos.pdf</b:URL>
    <b:RefOrder>12</b:RefOrder>
  </b:Source>
</b:Sources>
</file>

<file path=customXml/itemProps1.xml><?xml version="1.0" encoding="utf-8"?>
<ds:datastoreItem xmlns:ds="http://schemas.openxmlformats.org/officeDocument/2006/customXml" ds:itemID="{C3257C1B-7218-4F0D-98B7-3DB457F85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27</Pages>
  <Words>4126</Words>
  <Characters>22698</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WebMaster-Agrotic</cp:lastModifiedBy>
  <cp:revision>16</cp:revision>
  <dcterms:created xsi:type="dcterms:W3CDTF">2024-10-18T14:26:00Z</dcterms:created>
  <dcterms:modified xsi:type="dcterms:W3CDTF">2024-10-18T22:53:00Z</dcterms:modified>
</cp:coreProperties>
</file>